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7BAB2915"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1EE23312"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66CE0EA8"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64228D6A" w:rsidR="00D935DF" w:rsidRPr="00F22543" w:rsidRDefault="006B33F9" w:rsidP="00A835E3">
      <w:pPr>
        <w:pStyle w:val="Sraopastraipa"/>
        <w:numPr>
          <w:ilvl w:val="0"/>
          <w:numId w:val="23"/>
        </w:numPr>
        <w:spacing w:line="252" w:lineRule="auto"/>
        <w:jc w:val="both"/>
      </w:pPr>
      <w:r w:rsidRPr="00F22543">
        <w:rPr>
          <w:color w:val="000000" w:themeColor="text1"/>
        </w:rPr>
        <w:t xml:space="preserve">Bendra </w:t>
      </w:r>
      <w:proofErr w:type="spellStart"/>
      <w:r w:rsidRPr="00F22543">
        <w:rPr>
          <w:color w:val="000000" w:themeColor="text1"/>
        </w:rPr>
        <w:t>informacija</w:t>
      </w:r>
      <w:proofErr w:type="spellEnd"/>
      <w:r w:rsidRPr="00F22543">
        <w:rPr>
          <w:color w:val="000000" w:themeColor="text1"/>
        </w:rPr>
        <w:t xml:space="preserve">. </w:t>
      </w:r>
      <w:r w:rsidR="00F22543" w:rsidRPr="00F22543">
        <w:rPr>
          <w:lang w:val="lt-LT" w:eastAsia="lt-LT"/>
        </w:rPr>
        <w:t>Paveldimų tinklainės distrofijų, kurias sukelia ABCA4 geno disfunkcija, gydymas</w:t>
      </w:r>
      <w:r w:rsidR="00F22543">
        <w:rPr>
          <w:lang w:val="lt-LT" w:eastAsia="lt-LT"/>
        </w:rPr>
        <w:t>.</w:t>
      </w:r>
      <w:r w:rsidR="00AF3D8E" w:rsidRPr="00F22543">
        <w:rPr>
          <w:color w:val="202124"/>
          <w:shd w:val="clear" w:color="auto" w:fill="FFFFFF"/>
        </w:rPr>
        <w:t xml:space="preserve"> </w:t>
      </w:r>
    </w:p>
    <w:p w14:paraId="73425FBA" w14:textId="537ADF2E"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0A68E7">
        <w:rPr>
          <w:rFonts w:ascii="Times New Roman" w:hAnsi="Times New Roman" w:cs="Times New Roman"/>
          <w:color w:val="000000" w:themeColor="text1"/>
          <w:sz w:val="24"/>
          <w:szCs w:val="24"/>
        </w:rPr>
        <w:t>6</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C9E54DB"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F22543">
        <w:rPr>
          <w:bCs/>
          <w:color w:val="000000" w:themeColor="text1"/>
          <w:lang w:val="lt-LT"/>
        </w:rPr>
        <w:t>liepos 2</w:t>
      </w:r>
      <w:r w:rsidR="00F247B9">
        <w:rPr>
          <w:bCs/>
          <w:color w:val="000000" w:themeColor="text1"/>
          <w:lang w:val="lt-LT"/>
        </w:rPr>
        <w:t xml:space="preserve"> </w:t>
      </w:r>
      <w:r>
        <w:rPr>
          <w:bCs/>
          <w:color w:val="000000" w:themeColor="text1"/>
          <w:lang w:val="lt-LT"/>
        </w:rPr>
        <w:t>d.</w:t>
      </w:r>
    </w:p>
    <w:p w14:paraId="61180CC1" w14:textId="7D4971B6"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F22543">
        <w:rPr>
          <w:bCs/>
          <w:color w:val="000000" w:themeColor="text1"/>
          <w:lang w:val="lt-LT"/>
        </w:rPr>
        <w:t>liepos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79653" w14:textId="77777777" w:rsidR="00256443" w:rsidRDefault="00256443" w:rsidP="009E1786">
      <w:r>
        <w:separator/>
      </w:r>
    </w:p>
  </w:endnote>
  <w:endnote w:type="continuationSeparator" w:id="0">
    <w:p w14:paraId="5CE52096" w14:textId="77777777" w:rsidR="00256443" w:rsidRDefault="00256443"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7A078" w14:textId="77777777" w:rsidR="00256443" w:rsidRDefault="00256443" w:rsidP="009E1786">
      <w:r>
        <w:separator/>
      </w:r>
    </w:p>
  </w:footnote>
  <w:footnote w:type="continuationSeparator" w:id="0">
    <w:p w14:paraId="7922BA6D" w14:textId="77777777" w:rsidR="00256443" w:rsidRDefault="00256443"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4884858">
    <w:abstractNumId w:val="7"/>
  </w:num>
  <w:num w:numId="2" w16cid:durableId="892740052">
    <w:abstractNumId w:val="1"/>
  </w:num>
  <w:num w:numId="3" w16cid:durableId="629478067">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158622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4022021">
    <w:abstractNumId w:val="0"/>
  </w:num>
  <w:num w:numId="6" w16cid:durableId="803306774">
    <w:abstractNumId w:val="22"/>
  </w:num>
  <w:num w:numId="7" w16cid:durableId="2038964729">
    <w:abstractNumId w:val="10"/>
  </w:num>
  <w:num w:numId="8" w16cid:durableId="536891159">
    <w:abstractNumId w:val="2"/>
  </w:num>
  <w:num w:numId="9" w16cid:durableId="1027560370">
    <w:abstractNumId w:val="3"/>
  </w:num>
  <w:num w:numId="10" w16cid:durableId="930964875">
    <w:abstractNumId w:val="16"/>
  </w:num>
  <w:num w:numId="11" w16cid:durableId="1574847837">
    <w:abstractNumId w:val="9"/>
  </w:num>
  <w:num w:numId="12" w16cid:durableId="418408624">
    <w:abstractNumId w:val="21"/>
  </w:num>
  <w:num w:numId="13" w16cid:durableId="795177654">
    <w:abstractNumId w:val="20"/>
  </w:num>
  <w:num w:numId="14" w16cid:durableId="1199464328">
    <w:abstractNumId w:val="17"/>
  </w:num>
  <w:num w:numId="15" w16cid:durableId="857428321">
    <w:abstractNumId w:val="12"/>
  </w:num>
  <w:num w:numId="16" w16cid:durableId="374240117">
    <w:abstractNumId w:val="4"/>
  </w:num>
  <w:num w:numId="17" w16cid:durableId="746460848">
    <w:abstractNumId w:val="23"/>
  </w:num>
  <w:num w:numId="18" w16cid:durableId="2106343687">
    <w:abstractNumId w:val="5"/>
  </w:num>
  <w:num w:numId="19" w16cid:durableId="59670299">
    <w:abstractNumId w:val="8"/>
  </w:num>
  <w:num w:numId="20" w16cid:durableId="102579433">
    <w:abstractNumId w:val="11"/>
  </w:num>
  <w:num w:numId="21" w16cid:durableId="1049182640">
    <w:abstractNumId w:val="6"/>
  </w:num>
  <w:num w:numId="22" w16cid:durableId="1961254700">
    <w:abstractNumId w:val="15"/>
  </w:num>
  <w:num w:numId="23" w16cid:durableId="1561475862">
    <w:abstractNumId w:val="19"/>
  </w:num>
  <w:num w:numId="24" w16cid:durableId="16670482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88331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A68E7"/>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1841"/>
    <w:rsid w:val="00216245"/>
    <w:rsid w:val="0022059E"/>
    <w:rsid w:val="0024584B"/>
    <w:rsid w:val="00250DF4"/>
    <w:rsid w:val="00256443"/>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72DED"/>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11737"/>
    <w:rsid w:val="00711ED5"/>
    <w:rsid w:val="007177F6"/>
    <w:rsid w:val="007263B6"/>
    <w:rsid w:val="00732723"/>
    <w:rsid w:val="00735648"/>
    <w:rsid w:val="007379EB"/>
    <w:rsid w:val="0074007C"/>
    <w:rsid w:val="00742516"/>
    <w:rsid w:val="00744DC3"/>
    <w:rsid w:val="0075004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26525"/>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027CF"/>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0428D"/>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04E73-27E6-4E18-A5CD-A8A2FC1AE1C3}">
  <ds:schemaRefs>
    <ds:schemaRef ds:uri="http://schemas.openxmlformats.org/officeDocument/2006/bibliography"/>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4EFE98-40B3-452B-9460-99BE961E1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4638</Words>
  <Characters>2645</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Agnietė Umbrasienė</cp:lastModifiedBy>
  <cp:revision>3</cp:revision>
  <dcterms:created xsi:type="dcterms:W3CDTF">2025-06-19T12:16:00Z</dcterms:created>
  <dcterms:modified xsi:type="dcterms:W3CDTF">2025-07-03T08:40:00Z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