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3520833">
    <w:abstractNumId w:val="2"/>
  </w:num>
  <w:num w:numId="2" w16cid:durableId="985016476">
    <w:abstractNumId w:val="10"/>
  </w:num>
  <w:num w:numId="3" w16cid:durableId="1521359725">
    <w:abstractNumId w:val="1"/>
  </w:num>
  <w:num w:numId="4" w16cid:durableId="919875418">
    <w:abstractNumId w:val="8"/>
  </w:num>
  <w:num w:numId="5" w16cid:durableId="2130201273">
    <w:abstractNumId w:val="6"/>
  </w:num>
  <w:num w:numId="6" w16cid:durableId="21522492">
    <w:abstractNumId w:val="5"/>
  </w:num>
  <w:num w:numId="7" w16cid:durableId="1154032886">
    <w:abstractNumId w:val="3"/>
  </w:num>
  <w:num w:numId="8" w16cid:durableId="1541164714">
    <w:abstractNumId w:val="7"/>
  </w:num>
  <w:num w:numId="9" w16cid:durableId="1878159878">
    <w:abstractNumId w:val="0"/>
  </w:num>
  <w:num w:numId="10" w16cid:durableId="1353263509">
    <w:abstractNumId w:val="9"/>
  </w:num>
  <w:num w:numId="11" w16cid:durableId="17334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176A5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https://projektai.intranet.litgrid.eu/PWA/Laukuvos%20TP/_layouts/15/DocIdRedir.aspx?ID=PVIS-1244306674-37</Url>
      <Description>PVIS-1244306674-37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CDD2A-3576-4D00-859D-16C4254205BF}"/>
</file>

<file path=customXml/itemProps3.xml><?xml version="1.0" encoding="utf-8"?>
<ds:datastoreItem xmlns:ds="http://schemas.openxmlformats.org/officeDocument/2006/customXml" ds:itemID="{BF589DD1-4392-4BAF-9509-F0FE0FA72AA9}"/>
</file>

<file path=customXml/itemProps4.xml><?xml version="1.0" encoding="utf-8"?>
<ds:datastoreItem xmlns:ds="http://schemas.openxmlformats.org/officeDocument/2006/customXml" ds:itemID="{1F15F377-D378-4855-B144-97C037196E7D}"/>
</file>

<file path=customXml/itemProps5.xml><?xml version="1.0" encoding="utf-8"?>
<ds:datastoreItem xmlns:ds="http://schemas.openxmlformats.org/officeDocument/2006/customXml" ds:itemID="{2CEF8DF5-1422-410B-AA90-5F4B784BE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573f7750-2116-474a-a5f9-cf6172981b9b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2214fc99-f576-47a6-8b2b-3505acb3d6f4</vt:lpwstr>
  </property>
</Properties>
</file>