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https://projektai.intranet.litgrid.eu/PWA/110%20kV%20OL%20Vidgirio%20VE-Pagėgiai/_layouts/15/DocIdRedir.aspx?ID=PVIS-247610836-376</Url>
      <Description>PVIS-247610836-376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PVIS-247610836-376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56F18-6E9C-4396-B093-0ADE840D8555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05C88-EABE-4DD1-A522-1C75F7E5D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14419d7f-ceb1-4d29-8331-366638697081</vt:lpwstr>
  </property>
</Properties>
</file>