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3A7B9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4FDE" w14:textId="77777777" w:rsidR="009F3CD6" w:rsidRDefault="009F3CD6">
      <w:r>
        <w:separator/>
      </w:r>
    </w:p>
  </w:endnote>
  <w:endnote w:type="continuationSeparator" w:id="0">
    <w:p w14:paraId="5830E8F4" w14:textId="77777777" w:rsidR="009F3CD6" w:rsidRDefault="009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773" w14:textId="77777777" w:rsidR="009F3CD6" w:rsidRDefault="009F3CD6">
      <w:r>
        <w:separator/>
      </w:r>
    </w:p>
  </w:footnote>
  <w:footnote w:type="continuationSeparator" w:id="0">
    <w:p w14:paraId="7F577B97" w14:textId="77777777" w:rsidR="009F3CD6" w:rsidRDefault="009F3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https://projektai.intranet.litgrid.eu/PWA/OL%20Neris-VE3%20atš%20į%20Riešės%20TP%20keitimas%20į%20KL%20ir%20ŽTŠK%20įrengimas/_layouts/15/DocIdRedir.aspx?ID=PVIS-623172455-28</Url>
      <Description>PVIS-623172455-28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PVIS-623172455-28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84A5E-713D-434B-AFD1-F4D1C0D7D691}"/>
</file>

<file path=customXml/itemProps3.xml><?xml version="1.0" encoding="utf-8"?>
<ds:datastoreItem xmlns:ds="http://schemas.openxmlformats.org/officeDocument/2006/customXml" ds:itemID="{F1B1D0AC-4015-4750-8600-0F3DDADD66F1}"/>
</file>

<file path=customXml/itemProps4.xml><?xml version="1.0" encoding="utf-8"?>
<ds:datastoreItem xmlns:ds="http://schemas.openxmlformats.org/officeDocument/2006/customXml" ds:itemID="{08411405-393F-45F7-9A13-02434FC44256}"/>
</file>

<file path=customXml/itemProps5.xml><?xml version="1.0" encoding="utf-8"?>
<ds:datastoreItem xmlns:ds="http://schemas.openxmlformats.org/officeDocument/2006/customXml" ds:itemID="{67F1E35A-0B58-4B72-A429-7268887B4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Aleksandr Olefir</cp:lastModifiedBy>
  <cp:revision>2</cp:revision>
  <cp:lastPrinted>2014-01-20T06:48:00Z</cp:lastPrinted>
  <dcterms:created xsi:type="dcterms:W3CDTF">2023-12-06T06:39:00Z</dcterms:created>
  <dcterms:modified xsi:type="dcterms:W3CDTF">2023-12-06T06:39:00Z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0x01010066872F3CC8F7D84995438B893169A0800200002BA84B59CE044E931CF3C274E3F82D</vt:lpwstr>
  </property>
  <property fmtid="{D5CDD505-2E9C-101B-9397-08002B2CF9AE}" pid="11" name="_dlc_DocIdItemGuid">
    <vt:lpwstr>6d68f2b3-06b4-4979-9d36-4d85289ada2d</vt:lpwstr>
  </property>
</Properties>
</file>