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6712" w:tblpY="-810"/>
        <w:tblW w:w="4455" w:type="dxa"/>
        <w:tblLayout w:type="fixed"/>
        <w:tblLook w:val="04A0" w:firstRow="1" w:lastRow="0" w:firstColumn="1" w:lastColumn="0" w:noHBand="0" w:noVBand="1"/>
      </w:tblPr>
      <w:tblGrid>
        <w:gridCol w:w="4455"/>
      </w:tblGrid>
      <w:tr w:rsidR="00462DC0" w:rsidRPr="000A1945" w14:paraId="44C33476" w14:textId="77777777" w:rsidTr="00BC3BE2">
        <w:trPr>
          <w:trHeight w:val="48"/>
        </w:trPr>
        <w:tc>
          <w:tcPr>
            <w:tcW w:w="4455" w:type="dxa"/>
          </w:tcPr>
          <w:p w14:paraId="38F5B23A" w14:textId="77777777" w:rsidR="00462DC0" w:rsidRPr="000A1945" w:rsidRDefault="006B0E05" w:rsidP="00462DC0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color w:val="000000"/>
              </w:rPr>
              <w:t>P</w:t>
            </w:r>
            <w:r w:rsidR="00462DC0" w:rsidRPr="000A1945">
              <w:rPr>
                <w:rFonts w:ascii="Trebuchet MS" w:hAnsi="Trebuchet MS" w:cs="Arial"/>
                <w:color w:val="000000"/>
              </w:rPr>
              <w:t>ATVIRTINTA</w:t>
            </w:r>
          </w:p>
        </w:tc>
      </w:tr>
      <w:tr w:rsidR="00462DC0" w:rsidRPr="000A1945" w14:paraId="0FD733B6" w14:textId="77777777" w:rsidTr="00BC3BE2">
        <w:trPr>
          <w:trHeight w:val="645"/>
        </w:trPr>
        <w:tc>
          <w:tcPr>
            <w:tcW w:w="4455" w:type="dxa"/>
          </w:tcPr>
          <w:p w14:paraId="379E0104" w14:textId="77777777" w:rsidR="00E97C4B" w:rsidRDefault="00462DC0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LITGRID AB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m. </w:t>
            </w:r>
          </w:p>
          <w:p w14:paraId="0FC06118" w14:textId="55A45044" w:rsidR="00462DC0" w:rsidRPr="000A1945" w:rsidRDefault="00E97C4B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Rugpjūčio 9 </w:t>
            </w:r>
            <w:r w:rsidR="00462DC0" w:rsidRPr="00E97C4B">
              <w:rPr>
                <w:rFonts w:ascii="Trebuchet MS" w:hAnsi="Trebuchet MS" w:cs="Arial"/>
                <w:color w:val="000000"/>
                <w:u w:val="single"/>
              </w:rPr>
              <w:t>d</w:t>
            </w:r>
            <w:r w:rsidR="00462DC0" w:rsidRPr="000A1945">
              <w:rPr>
                <w:rFonts w:ascii="Trebuchet MS" w:hAnsi="Trebuchet MS" w:cs="Arial"/>
                <w:color w:val="000000"/>
              </w:rPr>
              <w:t>.</w:t>
            </w:r>
          </w:p>
          <w:p w14:paraId="6259A178" w14:textId="5BDC349D" w:rsidR="00462DC0" w:rsidRPr="000A1945" w:rsidRDefault="00FE35CD" w:rsidP="00462DC0">
            <w:pPr>
              <w:spacing w:after="0" w:line="240" w:lineRule="auto"/>
              <w:ind w:right="-1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Perdavimo tinklo </w:t>
            </w:r>
            <w:r w:rsidR="0009276F" w:rsidRPr="000A1945">
              <w:rPr>
                <w:rFonts w:ascii="Trebuchet MS" w:hAnsi="Trebuchet MS" w:cs="Arial"/>
                <w:color w:val="000000"/>
              </w:rPr>
              <w:t xml:space="preserve">Departamento </w:t>
            </w:r>
            <w:r w:rsidR="00462DC0" w:rsidRPr="000A1945">
              <w:rPr>
                <w:rFonts w:ascii="Trebuchet MS" w:hAnsi="Trebuchet MS" w:cs="Arial"/>
                <w:color w:val="000000"/>
              </w:rPr>
              <w:t>direktoriaus nurodymu Nr.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  <w:p w14:paraId="23946AF0" w14:textId="77777777" w:rsidR="00F759C9" w:rsidRPr="005C4A76" w:rsidRDefault="00F759C9" w:rsidP="00F759C9">
            <w:pPr>
              <w:pStyle w:val="MAZAS"/>
              <w:ind w:firstLine="0"/>
              <w:jc w:val="center"/>
              <w:rPr>
                <w:rFonts w:ascii="Trebuchet MS" w:hAnsi="Trebuchet MS" w:cs="Arial"/>
                <w:lang w:val="lt-LT"/>
              </w:rPr>
            </w:pPr>
          </w:p>
        </w:tc>
      </w:tr>
    </w:tbl>
    <w:tbl>
      <w:tblPr>
        <w:tblpPr w:leftFromText="180" w:rightFromText="180" w:vertAnchor="text" w:horzAnchor="page" w:tblpX="957" w:tblpY="-931"/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6B0E05" w:rsidRPr="000A1945" w14:paraId="44710213" w14:textId="77777777" w:rsidTr="0009276F">
        <w:trPr>
          <w:trHeight w:val="154"/>
        </w:trPr>
        <w:tc>
          <w:tcPr>
            <w:tcW w:w="3969" w:type="dxa"/>
            <w:shd w:val="clear" w:color="auto" w:fill="auto"/>
          </w:tcPr>
          <w:p w14:paraId="4DE77B46" w14:textId="77777777" w:rsidR="006B0E05" w:rsidRPr="000A1945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APPROVED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by</w:t>
            </w:r>
            <w:proofErr w:type="spellEnd"/>
          </w:p>
        </w:tc>
      </w:tr>
      <w:tr w:rsidR="006B0E05" w:rsidRPr="000A1945" w14:paraId="2775B798" w14:textId="77777777" w:rsidTr="0009276F">
        <w:trPr>
          <w:trHeight w:val="760"/>
        </w:trPr>
        <w:tc>
          <w:tcPr>
            <w:tcW w:w="3969" w:type="dxa"/>
            <w:shd w:val="clear" w:color="auto" w:fill="auto"/>
          </w:tcPr>
          <w:p w14:paraId="2C320ACE" w14:textId="77777777" w:rsidR="00E97C4B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AB LITGRID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</w:p>
          <w:p w14:paraId="5737F026" w14:textId="77777777" w:rsidR="00E97C4B" w:rsidRPr="00E97C4B" w:rsidRDefault="00E97C4B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  <w:u w:val="single"/>
              </w:rPr>
            </w:pPr>
            <w:proofErr w:type="spellStart"/>
            <w:r w:rsidRPr="00E97C4B">
              <w:rPr>
                <w:rFonts w:ascii="Trebuchet MS" w:hAnsi="Trebuchet MS" w:cs="Arial"/>
                <w:color w:val="000000"/>
                <w:u w:val="single"/>
              </w:rPr>
              <w:t>August</w:t>
            </w:r>
            <w:proofErr w:type="spellEnd"/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 9</w:t>
            </w:r>
          </w:p>
          <w:p w14:paraId="6B47402C" w14:textId="5C46215A" w:rsidR="006B0E05" w:rsidRPr="000A1945" w:rsidRDefault="00FE35CD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Transmision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grid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d</w:t>
            </w:r>
            <w:r w:rsidR="0009276F" w:rsidRPr="000A1945">
              <w:rPr>
                <w:rFonts w:ascii="Trebuchet MS" w:hAnsi="Trebuchet MS" w:cs="Arial"/>
                <w:color w:val="000000"/>
              </w:rPr>
              <w:t>epartment</w:t>
            </w:r>
            <w:proofErr w:type="spellEnd"/>
            <w:r w:rsidR="0009276F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director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direction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No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>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</w:tc>
      </w:tr>
    </w:tbl>
    <w:p w14:paraId="6A11135D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</w:rPr>
      </w:pPr>
    </w:p>
    <w:p w14:paraId="2C20CC20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0143AC57" w14:textId="77777777" w:rsidR="009A0454" w:rsidRPr="000A1945" w:rsidRDefault="009A0454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1C372860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110 ÷ 400 KV ĮTAMPOS PASTOČIŲ, SKIRSTYKLŲ ĮRENGINIŲ IR ORO LINIJŲ</w:t>
      </w:r>
    </w:p>
    <w:p w14:paraId="0B14A925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PLIENINIŲ KONSTRUKCIJŲ DENGIMO CINKU KARŠTUOJU BŪDU</w:t>
      </w:r>
    </w:p>
    <w:p w14:paraId="32A9AD3F" w14:textId="77777777" w:rsidR="00CD3372" w:rsidRPr="000A1945" w:rsidRDefault="000B0D0A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STANDARTINIAI TECHNINIAI REIKALAVIMAI</w:t>
      </w:r>
      <w:r w:rsidR="007417C6" w:rsidRPr="000A1945">
        <w:rPr>
          <w:rFonts w:ascii="Trebuchet MS" w:hAnsi="Trebuchet MS" w:cs="Arial"/>
          <w:b/>
        </w:rPr>
        <w:t xml:space="preserve"> / STANDAR</w:t>
      </w:r>
      <w:r w:rsidR="0061274A" w:rsidRPr="000A1945">
        <w:rPr>
          <w:rFonts w:ascii="Trebuchet MS" w:hAnsi="Trebuchet MS" w:cs="Arial"/>
          <w:b/>
        </w:rPr>
        <w:t>D</w:t>
      </w:r>
      <w:r w:rsidR="007417C6" w:rsidRPr="000A1945">
        <w:rPr>
          <w:rFonts w:ascii="Trebuchet MS" w:hAnsi="Trebuchet MS" w:cs="Arial"/>
          <w:b/>
        </w:rPr>
        <w:t xml:space="preserve"> TECHNICAL REQUIREMENTS FOR 110 ÷ 400 KV VOLTAGE </w:t>
      </w:r>
      <w:r w:rsidR="006C6767" w:rsidRPr="000A1945">
        <w:rPr>
          <w:rFonts w:ascii="Trebuchet MS" w:hAnsi="Trebuchet MS" w:cs="Arial"/>
          <w:b/>
        </w:rPr>
        <w:t xml:space="preserve">SUBSTANTION, </w:t>
      </w:r>
      <w:r w:rsidR="00A96993" w:rsidRPr="000A1945">
        <w:rPr>
          <w:rFonts w:ascii="Trebuchet MS" w:hAnsi="Trebuchet MS" w:cs="Arial"/>
          <w:b/>
        </w:rPr>
        <w:t>SWITCH</w:t>
      </w:r>
      <w:r w:rsidR="00FB67E9" w:rsidRPr="000A1945">
        <w:rPr>
          <w:rFonts w:ascii="Trebuchet MS" w:hAnsi="Trebuchet MS" w:cs="Arial"/>
          <w:b/>
        </w:rPr>
        <w:t>YARD</w:t>
      </w:r>
      <w:r w:rsidR="00A96993" w:rsidRPr="000A1945">
        <w:rPr>
          <w:rFonts w:ascii="Trebuchet MS" w:hAnsi="Trebuchet MS" w:cs="Arial"/>
          <w:b/>
        </w:rPr>
        <w:t xml:space="preserve"> EQUIPMENT</w:t>
      </w:r>
      <w:r w:rsidR="006C6767" w:rsidRPr="000A1945">
        <w:rPr>
          <w:rFonts w:ascii="Trebuchet MS" w:hAnsi="Trebuchet MS" w:cs="Arial"/>
          <w:b/>
        </w:rPr>
        <w:t xml:space="preserve"> AND</w:t>
      </w:r>
      <w:r w:rsidR="00A96993" w:rsidRPr="000A1945">
        <w:rPr>
          <w:rFonts w:ascii="Trebuchet MS" w:hAnsi="Trebuchet MS" w:cs="Arial"/>
          <w:b/>
        </w:rPr>
        <w:t xml:space="preserve"> OWERHEAD LINES</w:t>
      </w:r>
      <w:r w:rsidR="006C6767" w:rsidRPr="000A1945">
        <w:rPr>
          <w:rFonts w:ascii="Trebuchet MS" w:hAnsi="Trebuchet MS" w:cs="Arial"/>
          <w:b/>
        </w:rPr>
        <w:t xml:space="preserve"> HOT DIP GALVANIZED COATINGS ON FABRICATED IRON AN</w:t>
      </w:r>
      <w:r w:rsidR="0061274A" w:rsidRPr="000A1945">
        <w:rPr>
          <w:rFonts w:ascii="Trebuchet MS" w:hAnsi="Trebuchet MS" w:cs="Arial"/>
          <w:b/>
        </w:rPr>
        <w:t>D</w:t>
      </w:r>
      <w:r w:rsidR="006C6767" w:rsidRPr="000A1945">
        <w:rPr>
          <w:rFonts w:ascii="Trebuchet MS" w:hAnsi="Trebuchet MS" w:cs="Arial"/>
          <w:b/>
        </w:rPr>
        <w:t xml:space="preserve"> STEEL ARTICLES</w:t>
      </w:r>
    </w:p>
    <w:p w14:paraId="32681FF1" w14:textId="77777777" w:rsidR="009A0454" w:rsidRPr="000A1945" w:rsidRDefault="009A0454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</w:p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45540D" w:rsidRPr="000A1945" w14:paraId="7364A271" w14:textId="77777777" w:rsidTr="00A2439B">
        <w:tc>
          <w:tcPr>
            <w:tcW w:w="704" w:type="dxa"/>
            <w:vAlign w:val="center"/>
          </w:tcPr>
          <w:p w14:paraId="5F9E3EC6" w14:textId="77777777" w:rsidR="00072423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Eil.</w:t>
            </w:r>
          </w:p>
          <w:p w14:paraId="54DB086F" w14:textId="77777777" w:rsidR="00C91985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nr.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Seq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No</w:t>
            </w:r>
            <w:proofErr w:type="spellEnd"/>
          </w:p>
        </w:tc>
        <w:tc>
          <w:tcPr>
            <w:tcW w:w="5103" w:type="dxa"/>
            <w:vAlign w:val="center"/>
          </w:tcPr>
          <w:p w14:paraId="71DF6C07" w14:textId="77777777" w:rsidR="00665E5B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Įrenginio, įrangos, gaminio ar medžiagos reikalaujamas parametras</w:t>
            </w:r>
            <w:r w:rsidR="007417C6" w:rsidRPr="000A1945">
              <w:rPr>
                <w:rFonts w:ascii="Trebuchet MS" w:hAnsi="Trebuchet MS" w:cs="Arial"/>
              </w:rPr>
              <w:t xml:space="preserve"> (mato vnt.)</w:t>
            </w:r>
            <w:r w:rsidRPr="000A1945">
              <w:rPr>
                <w:rFonts w:ascii="Trebuchet MS" w:hAnsi="Trebuchet MS" w:cs="Arial"/>
              </w:rPr>
              <w:t>, funkcija,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Device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equipment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product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material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measuring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unit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),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  <w:tc>
          <w:tcPr>
            <w:tcW w:w="4394" w:type="dxa"/>
            <w:vAlign w:val="center"/>
          </w:tcPr>
          <w:p w14:paraId="2340435A" w14:textId="77777777" w:rsidR="00C91985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Reikalaujama parametro (mato vnt.) ar funkcijos reikšmė,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value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</w:tr>
      <w:tr w:rsidR="00453FE4" w:rsidRPr="000A1945" w14:paraId="4A8A0915" w14:textId="77777777" w:rsidTr="00A2439B">
        <w:trPr>
          <w:trHeight w:val="252"/>
        </w:trPr>
        <w:tc>
          <w:tcPr>
            <w:tcW w:w="704" w:type="dxa"/>
            <w:shd w:val="clear" w:color="auto" w:fill="auto"/>
            <w:vAlign w:val="center"/>
          </w:tcPr>
          <w:p w14:paraId="76B8C594" w14:textId="77777777" w:rsidR="00453FE4" w:rsidRPr="000A1945" w:rsidRDefault="00453FE4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2980BAC6" w14:textId="77777777" w:rsidR="00453FE4" w:rsidRPr="000A1945" w:rsidRDefault="00453FE4" w:rsidP="003B4428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Standartai:</w:t>
            </w:r>
            <w:r w:rsidR="007417C6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  <w:b/>
              </w:rPr>
              <w:t>Standards</w:t>
            </w:r>
            <w:proofErr w:type="spellEnd"/>
            <w:r w:rsidR="007417C6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517C0E" w:rsidRPr="000A1945" w14:paraId="4A9D1535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2C8B4B96" w14:textId="77777777" w:rsidR="00517C0E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1.1.</w:t>
            </w:r>
          </w:p>
        </w:tc>
        <w:tc>
          <w:tcPr>
            <w:tcW w:w="5103" w:type="dxa"/>
            <w:vAlign w:val="center"/>
          </w:tcPr>
          <w:p w14:paraId="76DF94FA" w14:textId="77777777" w:rsidR="00681906" w:rsidRPr="000A1945" w:rsidRDefault="00881AB9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Ketaus ir plieno gaminių dangos, gautos karštojo cinkavimo būdu</w:t>
            </w:r>
            <w:r w:rsidR="00462DC0" w:rsidRPr="000A1945">
              <w:rPr>
                <w:rFonts w:ascii="Trebuchet MS" w:hAnsi="Trebuchet MS" w:cs="Arial"/>
              </w:rPr>
              <w:t>, turi tenkinti</w:t>
            </w:r>
            <w:r w:rsidR="00681906"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Hot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dip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galvanized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fabricated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iron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and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steel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articles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6C6767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A6332B4" w14:textId="77777777" w:rsidR="00462DC0" w:rsidRPr="000A1945" w:rsidRDefault="00C62A2A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1461</w:t>
            </w:r>
          </w:p>
        </w:tc>
      </w:tr>
      <w:tr w:rsidR="00ED05B8" w:rsidRPr="000A1945" w14:paraId="4D9B4F26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074368CD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1.2.</w:t>
            </w:r>
          </w:p>
        </w:tc>
        <w:tc>
          <w:tcPr>
            <w:tcW w:w="5103" w:type="dxa"/>
            <w:vAlign w:val="center"/>
          </w:tcPr>
          <w:p w14:paraId="40182C15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korozinio</w:t>
            </w:r>
            <w:proofErr w:type="spellEnd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 atsparumo principai / 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1: General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principles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design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resistance</w:t>
            </w:r>
            <w:proofErr w:type="spellEnd"/>
          </w:p>
        </w:tc>
        <w:tc>
          <w:tcPr>
            <w:tcW w:w="4394" w:type="dxa"/>
            <w:vAlign w:val="center"/>
          </w:tcPr>
          <w:p w14:paraId="7A5FF086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14713-1</w:t>
            </w:r>
          </w:p>
        </w:tc>
      </w:tr>
      <w:tr w:rsidR="00ED05B8" w:rsidRPr="000A1945" w14:paraId="3E21BAC2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5A38320E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1.3.</w:t>
            </w:r>
          </w:p>
        </w:tc>
        <w:tc>
          <w:tcPr>
            <w:tcW w:w="5103" w:type="dxa"/>
            <w:vAlign w:val="center"/>
          </w:tcPr>
          <w:p w14:paraId="38E52757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Cinko dangos. Konstrukcijose esančios geležies ir plieno apsaugos nuo korozijos gairės ir rekomendacijos. 2 dalis. Karštasis cinkavimas /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2: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Hot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dip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galvanizing</w:t>
            </w:r>
            <w:proofErr w:type="spellEnd"/>
          </w:p>
        </w:tc>
        <w:tc>
          <w:tcPr>
            <w:tcW w:w="4394" w:type="dxa"/>
            <w:vAlign w:val="center"/>
          </w:tcPr>
          <w:p w14:paraId="4A230FCB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14713-2</w:t>
            </w:r>
          </w:p>
        </w:tc>
      </w:tr>
      <w:tr w:rsidR="00B14ADB" w:rsidRPr="000A1945" w14:paraId="1918C0DD" w14:textId="77777777" w:rsidTr="00A2439B">
        <w:trPr>
          <w:trHeight w:val="278"/>
        </w:trPr>
        <w:tc>
          <w:tcPr>
            <w:tcW w:w="704" w:type="dxa"/>
            <w:vAlign w:val="center"/>
          </w:tcPr>
          <w:p w14:paraId="2F06806A" w14:textId="77777777" w:rsidR="00B14ADB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1.4.</w:t>
            </w:r>
          </w:p>
        </w:tc>
        <w:tc>
          <w:tcPr>
            <w:tcW w:w="5103" w:type="dxa"/>
            <w:vAlign w:val="center"/>
          </w:tcPr>
          <w:p w14:paraId="2779377A" w14:textId="77777777" w:rsidR="00B14ADB" w:rsidRPr="000A1945" w:rsidRDefault="00B14ADB" w:rsidP="007F24C3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Karštai valcuoti konstrukcinio plieno gaminiai turi tenkinti: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Hot-r</w:t>
            </w:r>
            <w:r w:rsidR="001754C9" w:rsidRPr="000A1945">
              <w:rPr>
                <w:rFonts w:ascii="Trebuchet MS" w:hAnsi="Trebuchet MS" w:cs="Arial"/>
              </w:rPr>
              <w:t>olled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products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FE35CD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0521C68" w14:textId="77777777" w:rsidR="00B14ADB" w:rsidRPr="000A1945" w:rsidRDefault="00B14ADB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10025-</w:t>
            </w:r>
            <w:r w:rsidR="000B477E" w:rsidRPr="000A1945">
              <w:rPr>
                <w:rFonts w:ascii="Trebuchet MS" w:hAnsi="Trebuchet MS" w:cs="Arial"/>
              </w:rPr>
              <w:t>2</w:t>
            </w:r>
          </w:p>
        </w:tc>
      </w:tr>
      <w:tr w:rsidR="002B4C50" w:rsidRPr="000A1945" w14:paraId="0DAA72E7" w14:textId="77777777" w:rsidTr="00A2439B">
        <w:trPr>
          <w:trHeight w:val="111"/>
        </w:trPr>
        <w:tc>
          <w:tcPr>
            <w:tcW w:w="704" w:type="dxa"/>
            <w:vAlign w:val="center"/>
          </w:tcPr>
          <w:p w14:paraId="65AB9428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1.5.</w:t>
            </w:r>
          </w:p>
        </w:tc>
        <w:tc>
          <w:tcPr>
            <w:tcW w:w="5103" w:type="dxa"/>
            <w:vAlign w:val="center"/>
          </w:tcPr>
          <w:p w14:paraId="025FB361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Karštuoju būdu apdoroti nelegiruotojo ir smulkiagrūdžio plieno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processing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C71327B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10210-1</w:t>
            </w:r>
          </w:p>
        </w:tc>
      </w:tr>
      <w:tr w:rsidR="002B4C50" w:rsidRPr="000A1945" w14:paraId="15F81B32" w14:textId="77777777" w:rsidTr="00A2439B">
        <w:trPr>
          <w:trHeight w:val="272"/>
        </w:trPr>
        <w:tc>
          <w:tcPr>
            <w:tcW w:w="704" w:type="dxa"/>
            <w:vAlign w:val="center"/>
          </w:tcPr>
          <w:p w14:paraId="5F06C6B5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1.6.</w:t>
            </w:r>
          </w:p>
        </w:tc>
        <w:tc>
          <w:tcPr>
            <w:tcW w:w="5103" w:type="dxa"/>
            <w:vAlign w:val="center"/>
          </w:tcPr>
          <w:p w14:paraId="2201EFD6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Nelegiruotojo ir smulkiagrūdžio plieno šaltai formuoti suvirintieji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cold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formed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welded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3807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F5AB5AA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10219-1</w:t>
            </w:r>
          </w:p>
        </w:tc>
      </w:tr>
      <w:tr w:rsidR="000B477E" w:rsidRPr="000A1945" w14:paraId="66FE0C10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7F7DF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02D1463" w14:textId="77777777" w:rsidR="000B477E" w:rsidRPr="000A1945" w:rsidRDefault="000B477E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Plieno paviršiai paruošiami prieš cinkavimą pagal standartus: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surfaces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prepared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before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galvanizing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accordance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with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standards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3BC6E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1461</w:t>
            </w:r>
          </w:p>
          <w:p w14:paraId="5F10B714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8501-1</w:t>
            </w:r>
          </w:p>
          <w:p w14:paraId="1F4C70CE" w14:textId="77777777" w:rsidR="00817CE0" w:rsidRPr="000A1945" w:rsidRDefault="00817CE0" w:rsidP="00817CE0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8501-3</w:t>
            </w:r>
          </w:p>
          <w:p w14:paraId="52904FF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12944-3</w:t>
            </w:r>
          </w:p>
          <w:p w14:paraId="0557F13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12944-4</w:t>
            </w:r>
          </w:p>
          <w:p w14:paraId="19CCF5CA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1090-2</w:t>
            </w:r>
          </w:p>
        </w:tc>
      </w:tr>
      <w:tr w:rsidR="000B477E" w:rsidRPr="000A1945" w14:paraId="79613DF8" w14:textId="77777777" w:rsidTr="00A2439B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1BF2B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AA0B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Metalo cheminės sudėties nustatymas optinės emisijos analizės metodu pagal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</w:t>
            </w:r>
            <w:r w:rsidR="006A587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chemical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consist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by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optical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emission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spectrometry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according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to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E2C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CR 10320:2006</w:t>
            </w:r>
          </w:p>
        </w:tc>
      </w:tr>
      <w:tr w:rsidR="000B477E" w:rsidRPr="000A1945" w14:paraId="2DCCB73A" w14:textId="77777777" w:rsidTr="00A2439B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357F2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9A19457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Storio matavimas notifikuotos įstaigos (ardantis ir neardantys metodai)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Measurement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</w:t>
            </w:r>
            <w:r w:rsidR="003807C9" w:rsidRPr="000A1945">
              <w:rPr>
                <w:rFonts w:ascii="Trebuchet MS" w:hAnsi="Trebuchet MS" w:cs="Arial"/>
              </w:rPr>
              <w:t>hickness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of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the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notified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body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depleting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without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destroying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methods</w:t>
            </w:r>
            <w:proofErr w:type="spellEnd"/>
            <w:r w:rsidR="001754C9" w:rsidRPr="000A1945">
              <w:rPr>
                <w:rFonts w:ascii="Trebuchet MS" w:hAnsi="Trebuchet MS" w:cs="Arial"/>
              </w:rPr>
              <w:t>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494A4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1463:2004</w:t>
            </w:r>
          </w:p>
          <w:p w14:paraId="0E87128D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3882:2003</w:t>
            </w:r>
          </w:p>
          <w:p w14:paraId="6EDF5CD3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2808:2007</w:t>
            </w:r>
          </w:p>
          <w:p w14:paraId="09F8EDF0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2178:2001</w:t>
            </w:r>
          </w:p>
        </w:tc>
      </w:tr>
    </w:tbl>
    <w:p w14:paraId="219DF7E6" w14:textId="77777777" w:rsidR="00A2439B" w:rsidRPr="000A1945" w:rsidRDefault="00A2439B"/>
    <w:p w14:paraId="443C0580" w14:textId="77777777" w:rsidR="00A2439B" w:rsidRPr="000A1945" w:rsidRDefault="00A2439B"/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B70F31" w:rsidRPr="000A1945" w14:paraId="58DA8EEB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4DABDC43" w14:textId="77777777" w:rsidR="00B70F31" w:rsidRPr="000A1945" w:rsidRDefault="000B477E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2</w:t>
            </w:r>
            <w:r w:rsidR="00B70F31" w:rsidRPr="000A1945">
              <w:rPr>
                <w:rFonts w:ascii="Trebuchet MS" w:hAnsi="Trebuchet MS" w:cs="Arial"/>
                <w:b/>
              </w:rPr>
              <w:t>.</w:t>
            </w:r>
          </w:p>
        </w:tc>
        <w:tc>
          <w:tcPr>
            <w:tcW w:w="9497" w:type="dxa"/>
            <w:gridSpan w:val="2"/>
            <w:vAlign w:val="center"/>
          </w:tcPr>
          <w:p w14:paraId="552DCB3C" w14:textId="77777777" w:rsidR="00B70F31" w:rsidRPr="000A1945" w:rsidRDefault="00B70F31" w:rsidP="003B4428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>Aplinkos sąlygos: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Ambient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45540D" w:rsidRPr="000A1945" w14:paraId="608E37C4" w14:textId="77777777" w:rsidTr="00A2439B">
        <w:trPr>
          <w:trHeight w:val="235"/>
        </w:trPr>
        <w:tc>
          <w:tcPr>
            <w:tcW w:w="704" w:type="dxa"/>
            <w:vAlign w:val="center"/>
          </w:tcPr>
          <w:p w14:paraId="53A9AA35" w14:textId="77777777" w:rsidR="00F9743C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F9743C" w:rsidRPr="000A1945">
              <w:rPr>
                <w:rFonts w:ascii="Trebuchet MS" w:hAnsi="Trebuchet MS" w:cs="Arial"/>
              </w:rPr>
              <w:t>.1.</w:t>
            </w:r>
          </w:p>
        </w:tc>
        <w:tc>
          <w:tcPr>
            <w:tcW w:w="5103" w:type="dxa"/>
            <w:vAlign w:val="center"/>
          </w:tcPr>
          <w:p w14:paraId="2EF38F1E" w14:textId="77777777" w:rsidR="00C91985" w:rsidRPr="000A1945" w:rsidRDefault="00531716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Naudojimo sąlygos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Terms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use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0C63FE6" w14:textId="77777777" w:rsidR="00C91985" w:rsidRPr="000A1945" w:rsidRDefault="00453FE4" w:rsidP="001754C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Atvirame ore</w:t>
            </w:r>
            <w:r w:rsidR="006C6767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Outdoor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conditions</w:t>
            </w:r>
            <w:proofErr w:type="spellEnd"/>
          </w:p>
        </w:tc>
      </w:tr>
      <w:tr w:rsidR="00CE7E9A" w:rsidRPr="000A1945" w14:paraId="0CE793C3" w14:textId="77777777" w:rsidTr="00A2439B">
        <w:trPr>
          <w:trHeight w:val="854"/>
        </w:trPr>
        <w:tc>
          <w:tcPr>
            <w:tcW w:w="704" w:type="dxa"/>
            <w:vAlign w:val="center"/>
          </w:tcPr>
          <w:p w14:paraId="4AFE328B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.2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14E5DE42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aukštesnė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D15DAC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</w:t>
            </w:r>
            <w:r w:rsidR="00C4306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3C1EF3"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maximum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higher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1754C9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518C42B2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+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CE7E9A" w:rsidRPr="000A1945" w14:paraId="5E2054EB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2B1C654D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.3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7B66FD0E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Minimali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žemesnė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9E0D01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0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9070A3B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-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773FA0" w:rsidRPr="000A1945" w14:paraId="27CBF6F7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66B342" w14:textId="77777777" w:rsidR="00773FA0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773FA0" w:rsidRPr="000A1945">
              <w:rPr>
                <w:rFonts w:ascii="Trebuchet MS" w:hAnsi="Trebuchet MS" w:cs="Arial"/>
              </w:rPr>
              <w:t>.4.</w:t>
            </w:r>
          </w:p>
        </w:tc>
        <w:tc>
          <w:tcPr>
            <w:tcW w:w="5103" w:type="dxa"/>
            <w:vAlign w:val="center"/>
          </w:tcPr>
          <w:p w14:paraId="13F7B66F" w14:textId="77777777" w:rsidR="00773FA0" w:rsidRPr="000A1945" w:rsidRDefault="00773FA0" w:rsidP="006A5877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Klimato agresyvumo klasė (pagal L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 EN ISO 9223) ne žemesnė kaip: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3C1EF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/</w:t>
            </w:r>
            <w:r w:rsidR="001754C9"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Climate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aggressiveness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class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according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to </w:t>
            </w:r>
            <w:r w:rsidR="006A587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LST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EN ISO 9223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46BB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11E706E" w14:textId="77777777" w:rsidR="00773FA0" w:rsidRPr="000A1945" w:rsidRDefault="00773FA0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C3</w:t>
            </w:r>
          </w:p>
        </w:tc>
      </w:tr>
      <w:tr w:rsidR="000B477E" w:rsidRPr="000A1945" w14:paraId="58A27875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56CE34C0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3.</w:t>
            </w:r>
          </w:p>
        </w:tc>
        <w:tc>
          <w:tcPr>
            <w:tcW w:w="9497" w:type="dxa"/>
            <w:gridSpan w:val="2"/>
            <w:vAlign w:val="center"/>
          </w:tcPr>
          <w:p w14:paraId="3FCA8D7B" w14:textId="77777777" w:rsidR="000B477E" w:rsidRPr="000A1945" w:rsidRDefault="000B477E" w:rsidP="001754C9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Cinko dangos </w:t>
            </w:r>
            <w:r w:rsidR="001754C9" w:rsidRPr="000A1945">
              <w:rPr>
                <w:rFonts w:ascii="Trebuchet MS" w:hAnsi="Trebuchet MS" w:cs="Arial"/>
                <w:b/>
              </w:rPr>
              <w:t xml:space="preserve">sluoksnio </w:t>
            </w:r>
            <w:r w:rsidRPr="000A1945">
              <w:rPr>
                <w:rFonts w:ascii="Trebuchet MS" w:hAnsi="Trebuchet MS" w:cs="Arial"/>
                <w:b/>
              </w:rPr>
              <w:t>storis: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Thi</w:t>
            </w:r>
            <w:r w:rsidR="006A5877" w:rsidRPr="000A1945">
              <w:rPr>
                <w:rFonts w:ascii="Trebuchet MS" w:hAnsi="Trebuchet MS" w:cs="Arial"/>
                <w:b/>
              </w:rPr>
              <w:t>c</w:t>
            </w:r>
            <w:r w:rsidR="001754C9" w:rsidRPr="000A1945">
              <w:rPr>
                <w:rFonts w:ascii="Trebuchet MS" w:hAnsi="Trebuchet MS" w:cs="Arial"/>
                <w:b/>
              </w:rPr>
              <w:t>kness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Zinc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couating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layer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40D72B7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BF3F2FF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3.1.</w:t>
            </w:r>
          </w:p>
        </w:tc>
        <w:tc>
          <w:tcPr>
            <w:tcW w:w="5103" w:type="dxa"/>
            <w:vAlign w:val="center"/>
          </w:tcPr>
          <w:p w14:paraId="08BE2051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6mm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0EA8AB0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150 / 135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6F49F56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AAA662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3.2.</w:t>
            </w:r>
          </w:p>
        </w:tc>
        <w:tc>
          <w:tcPr>
            <w:tcW w:w="5103" w:type="dxa"/>
            <w:vAlign w:val="center"/>
          </w:tcPr>
          <w:p w14:paraId="42BDC71B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58C37EB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140 / 115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5FF146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03596C9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3.3.</w:t>
            </w:r>
          </w:p>
        </w:tc>
        <w:tc>
          <w:tcPr>
            <w:tcW w:w="5103" w:type="dxa"/>
            <w:vAlign w:val="center"/>
          </w:tcPr>
          <w:p w14:paraId="18A842A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A122AC2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95 / 70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3688A04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55BE17D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3.4.</w:t>
            </w:r>
          </w:p>
        </w:tc>
        <w:tc>
          <w:tcPr>
            <w:tcW w:w="5103" w:type="dxa"/>
            <w:vAlign w:val="center"/>
          </w:tcPr>
          <w:p w14:paraId="78A5994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Pastočių ir skirstyklos įrenginių plieninių konstrukcijų cinko dangos storis turi atitikti: 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Substations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Switchyard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equipment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03F7050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LST EN ISO 1461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C12E20F" w14:textId="77777777" w:rsidTr="00A2439B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41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C7F" w14:textId="77777777" w:rsidR="00174EE9" w:rsidRPr="000A1945" w:rsidRDefault="00174EE9" w:rsidP="00174EE9">
            <w:pPr>
              <w:pStyle w:val="HTMLPreformatted"/>
              <w:shd w:val="clear" w:color="auto" w:fill="FFFFFF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Pliene cheminių elementų silicio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ir fosforo [P] klasifikacija ir kiekių apribojimai, %: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chemical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elements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silicon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phosphorus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[P]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classification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quantity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, %:</w:t>
            </w:r>
          </w:p>
        </w:tc>
      </w:tr>
      <w:tr w:rsidR="00174EE9" w:rsidRPr="000A1945" w14:paraId="062BB3E5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7B77560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4.1.</w:t>
            </w:r>
          </w:p>
        </w:tc>
        <w:tc>
          <w:tcPr>
            <w:tcW w:w="5103" w:type="dxa"/>
            <w:vAlign w:val="center"/>
          </w:tcPr>
          <w:p w14:paraId="2C2D33A0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>Šaltai valcuoti plienai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</w:t>
            </w:r>
            <w:proofErr w:type="spellStart"/>
            <w:r w:rsidRPr="000A1945">
              <w:rPr>
                <w:rFonts w:ascii="Trebuchet MS" w:hAnsi="Trebuchet MS" w:cs="Arial"/>
              </w:rPr>
              <w:t>Cold-rolled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5D22413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&lt;0,03 % ir Si+2,5xP&lt;0,04 %</w:t>
            </w:r>
          </w:p>
        </w:tc>
      </w:tr>
      <w:tr w:rsidR="00174EE9" w:rsidRPr="000A1945" w14:paraId="126FA7DC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55A109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4.2.</w:t>
            </w:r>
          </w:p>
        </w:tc>
        <w:tc>
          <w:tcPr>
            <w:tcW w:w="5103" w:type="dxa"/>
            <w:vAlign w:val="center"/>
          </w:tcPr>
          <w:p w14:paraId="1DF334AD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 xml:space="preserve">Karštai valcuoti </w:t>
            </w:r>
            <w:r w:rsidRPr="000A1945">
              <w:rPr>
                <w:rFonts w:ascii="Trebuchet MS" w:hAnsi="Trebuchet MS" w:cs="Arial"/>
                <w:color w:val="000000"/>
              </w:rPr>
              <w:t xml:space="preserve">plienai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 </w:t>
            </w:r>
            <w:proofErr w:type="spellStart"/>
            <w:r w:rsidRPr="000A1945">
              <w:rPr>
                <w:rFonts w:ascii="Trebuchet MS" w:hAnsi="Trebuchet MS" w:cs="Arial"/>
              </w:rPr>
              <w:t>Hot-rolled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16388C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&lt;0,02 % ir Si+2,5xP&lt;0,09 %</w:t>
            </w:r>
          </w:p>
        </w:tc>
      </w:tr>
      <w:tr w:rsidR="00174EE9" w:rsidRPr="000A1945" w14:paraId="7F69A3BD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087653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4.3.</w:t>
            </w:r>
          </w:p>
        </w:tc>
        <w:tc>
          <w:tcPr>
            <w:tcW w:w="5103" w:type="dxa"/>
            <w:vAlign w:val="center"/>
          </w:tcPr>
          <w:p w14:paraId="45437F1F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4970975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0,15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0,28</w:t>
            </w:r>
          </w:p>
        </w:tc>
      </w:tr>
      <w:tr w:rsidR="00174EE9" w:rsidRPr="000A1945" w14:paraId="0E19E671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2BB75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4.4.</w:t>
            </w:r>
          </w:p>
        </w:tc>
        <w:tc>
          <w:tcPr>
            <w:tcW w:w="5103" w:type="dxa"/>
            <w:vAlign w:val="center"/>
          </w:tcPr>
          <w:p w14:paraId="3C8598FC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3 mm ir ≤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3 mm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≤ 6 mm</w:t>
            </w:r>
            <w:r w:rsidRPr="000A1945" w:rsidDel="00E7128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(5)</w:t>
            </w:r>
          </w:p>
        </w:tc>
        <w:tc>
          <w:tcPr>
            <w:tcW w:w="4394" w:type="dxa"/>
            <w:vAlign w:val="center"/>
          </w:tcPr>
          <w:p w14:paraId="6C4AD6A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0,29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0,35</w:t>
            </w:r>
          </w:p>
        </w:tc>
      </w:tr>
      <w:tr w:rsidR="00174EE9" w:rsidRPr="000A1945" w14:paraId="2A1C10B0" w14:textId="77777777" w:rsidTr="00A2439B">
        <w:trPr>
          <w:trHeight w:val="141"/>
        </w:trPr>
        <w:tc>
          <w:tcPr>
            <w:tcW w:w="704" w:type="dxa"/>
            <w:vAlign w:val="center"/>
          </w:tcPr>
          <w:p w14:paraId="12AA36D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5.</w:t>
            </w:r>
          </w:p>
        </w:tc>
        <w:tc>
          <w:tcPr>
            <w:tcW w:w="9497" w:type="dxa"/>
            <w:gridSpan w:val="2"/>
            <w:vAlign w:val="center"/>
          </w:tcPr>
          <w:p w14:paraId="2705F1DA" w14:textId="77777777" w:rsidR="00174EE9" w:rsidRPr="000A1945" w:rsidRDefault="00174EE9" w:rsidP="00174EE9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Reikalavimai plieno paviršiaus paruošimui prieš cinkavimą: /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before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galvanizing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72D1828D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8F74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FF2E8E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Paviršiaus paruošimo laipsnis valant srautiniu abrazyviniu pūtimu pagal LST EN ISO 8501-1, ne mažesnis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grade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ISO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DFA21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Sa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2½ </w:t>
            </w:r>
            <w:r w:rsidRPr="005C4A76">
              <w:rPr>
                <w:rFonts w:ascii="Trebuchet MS" w:hAnsi="Trebuchet MS" w:cs="Arial"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28510E3F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A4EC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6FC6C46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Plieno paviršiaus kokybė pagal 8501-1 turi atitikti: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2A6A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A, B arba C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5DD0A8A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89C40B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5.3.</w:t>
            </w:r>
          </w:p>
        </w:tc>
        <w:tc>
          <w:tcPr>
            <w:tcW w:w="5103" w:type="dxa"/>
            <w:vAlign w:val="center"/>
          </w:tcPr>
          <w:p w14:paraId="2D6C287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Suvirinimo siūlių kokybė pagal EN ISO 8501-3 (p. 1.1; 1.2; 1.3; 1.4; 1.5)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welding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seams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1.1; 1.2; 1.3; 1.4; 1.5)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959319A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04781481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8E2E1F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5.4.</w:t>
            </w:r>
          </w:p>
        </w:tc>
        <w:tc>
          <w:tcPr>
            <w:tcW w:w="5103" w:type="dxa"/>
            <w:vAlign w:val="center"/>
          </w:tcPr>
          <w:p w14:paraId="2304802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Briaunų kokybė pagal EN ISO 8501-3 (p. 2.1; 2.2)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2.1; 2.2)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EB5187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4E45E9F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DB73DCE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5.5.</w:t>
            </w:r>
          </w:p>
        </w:tc>
        <w:tc>
          <w:tcPr>
            <w:tcW w:w="5103" w:type="dxa"/>
            <w:vAlign w:val="center"/>
          </w:tcPr>
          <w:p w14:paraId="49CAD05E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Briaunų kokybė pagal EN ISO 8501-3 (p. 2.3 „Termiškai pjauti paviršiai“) turi būti ne mažesnė kaip: /</w:t>
            </w:r>
            <w:r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2.3 "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Termaly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4A8796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 (c)</w:t>
            </w:r>
          </w:p>
        </w:tc>
      </w:tr>
      <w:tr w:rsidR="00174EE9" w:rsidRPr="000A1945" w14:paraId="43273E7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B2D6D2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5.6.</w:t>
            </w:r>
          </w:p>
        </w:tc>
        <w:tc>
          <w:tcPr>
            <w:tcW w:w="5103" w:type="dxa"/>
            <w:vAlign w:val="center"/>
          </w:tcPr>
          <w:p w14:paraId="48C0D1B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3.1 „Įdubos ir krateriai“) turi būti ne mažesni kaip: 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 . 3.1 „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Pits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craters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8398EC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F73C172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3940A5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5.7.</w:t>
            </w:r>
          </w:p>
        </w:tc>
        <w:tc>
          <w:tcPr>
            <w:tcW w:w="5103" w:type="dxa"/>
            <w:vAlign w:val="center"/>
          </w:tcPr>
          <w:p w14:paraId="715E4E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3.2; 3.3; 3.4; 3.5; 3.6) turi būti ne mažesni kaip:/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3.2; 3.3; 3.4; 3.5; 3.6)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A06BC5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EBFBB04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6D13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5.8.</w:t>
            </w:r>
          </w:p>
        </w:tc>
        <w:tc>
          <w:tcPr>
            <w:tcW w:w="5103" w:type="dxa"/>
            <w:vAlign w:val="center"/>
          </w:tcPr>
          <w:p w14:paraId="735BC00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Termiškai pjautų paviršių plotai privalo būti nušlifuojami ne mažiau, mm:/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Thermally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at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least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, mm: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1E30EE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 ≥ 1</w:t>
            </w:r>
          </w:p>
        </w:tc>
      </w:tr>
      <w:tr w:rsidR="00174EE9" w:rsidRPr="000A1945" w14:paraId="7274DD7B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C764F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5.9.</w:t>
            </w:r>
          </w:p>
        </w:tc>
        <w:tc>
          <w:tcPr>
            <w:tcW w:w="5103" w:type="dxa"/>
            <w:vAlign w:val="center"/>
          </w:tcPr>
          <w:p w14:paraId="21C2EA28" w14:textId="77777777" w:rsidR="00174EE9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Atlikimo klasės pagal LST EN 1090-2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Execution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class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1090-2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4D9DCADC" w14:textId="77777777" w:rsidR="000E6391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397C3AF4" w14:textId="77777777" w:rsidR="000E6391" w:rsidRPr="000A1945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DEE851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≥ EX2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1877551" w14:textId="77777777" w:rsidTr="000E6391">
        <w:trPr>
          <w:trHeight w:hRule="exact" w:val="716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861A9F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lastRenderedPageBreak/>
              <w:t>6.</w:t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1A94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Reikalavimai cinko dangos paviršiui po cinkavimo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galvanizing</w:t>
            </w:r>
            <w:proofErr w:type="spellEnd"/>
          </w:p>
        </w:tc>
      </w:tr>
      <w:tr w:rsidR="00174EE9" w:rsidRPr="000A1945" w14:paraId="2B081398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4AC4F3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67999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Cinkuoto paviršiaus vientisumo užtikrinimas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Ensuring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integrity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C20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Pašalinti aštrūs kraštai, briaunos, lašai iš perteklinio sukietėjusio cinko, prilipusios įvairios formos cinko dangos likučiai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sharp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drops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drainaige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spikes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sticked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various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splatters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residues</w:t>
            </w:r>
            <w:proofErr w:type="spellEnd"/>
          </w:p>
        </w:tc>
      </w:tr>
      <w:tr w:rsidR="00174EE9" w:rsidRPr="000A1945" w14:paraId="2A9F1105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FE46C7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22A8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Galimų pažeidimų po transportavimo ar montavimo aprašas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Description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violations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F3C0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  <w:vertAlign w:val="superscript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Maksimalus cinko sluoksnio pažeidimo plotas (1 vieta) negali viršyti 10cm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2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(3,16x3,16cm 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maximum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damage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place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exceed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10cm2 (3,16x3,16cm).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</w:p>
        </w:tc>
      </w:tr>
      <w:tr w:rsidR="00174EE9" w:rsidRPr="000A1945" w14:paraId="468C16E5" w14:textId="77777777" w:rsidTr="00FD0118">
        <w:trPr>
          <w:trHeight w:hRule="exact" w:val="2560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35CA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A361BB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Priemonės pašalinti galimus leistinus pažeidimus po transportavimo ar montavimo / </w:t>
            </w:r>
            <w:r w:rsidRPr="000A1945">
              <w:t xml:space="preserve"> 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Measures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permissible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defects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8F79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  <w:sz w:val="22"/>
                <w:szCs w:val="22"/>
              </w:rPr>
            </w:pPr>
            <w:r w:rsidRPr="005C4A76">
              <w:rPr>
                <w:rFonts w:ascii="Trebuchet MS" w:hAnsi="Trebuchet MS" w:cs="Arial"/>
                <w:sz w:val="22"/>
                <w:szCs w:val="22"/>
              </w:rPr>
              <w:t xml:space="preserve">1.Paviršiaus valymas nerūdijančio plieno šepečiais arba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abraz</w:t>
            </w:r>
            <w:r w:rsidR="000A1945">
              <w:rPr>
                <w:rFonts w:ascii="Trebuchet MS" w:hAnsi="Trebuchet MS" w:cs="Arial"/>
                <w:sz w:val="22"/>
                <w:szCs w:val="22"/>
              </w:rPr>
              <w:t>y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vais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Proper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cleaning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with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stainless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steel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brush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abrasives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.</w:t>
            </w:r>
          </w:p>
          <w:p w14:paraId="266FE9C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2.Paviršiaus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nuriebalinimas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degreasing</w:t>
            </w:r>
            <w:proofErr w:type="spellEnd"/>
          </w:p>
          <w:p w14:paraId="2E672891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3.Dažymas prisotintais cinku (min.92%) dažais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Painting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with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zinc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rich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minimum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92%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Zn</w:t>
            </w:r>
            <w:proofErr w:type="spellEnd"/>
            <w:r w:rsidRPr="000A19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174EE9" w:rsidRPr="000A1945" w14:paraId="5BBE4C5C" w14:textId="77777777" w:rsidTr="005C4A76">
        <w:trPr>
          <w:trHeight w:val="413"/>
        </w:trPr>
        <w:tc>
          <w:tcPr>
            <w:tcW w:w="10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F54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Pastabos: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Notes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36BF5E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a) Techniniai reikalavimai netaikomi gelžbetonių pamatų inkariniams varžtams, kurie yra įbetonuojami ir cinkuojama tik viršutinė varžto dalis/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applyed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</w:rPr>
              <w:t>reinforced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concrete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foundation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which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concreted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upper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part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66A16AF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b) Taikant šį dokumentą būtini nuorodiniai dokumentai paminėti techniniuose reikalavimuose. Jei nuoroda datuota, taikomas tik nurodytas leidimas. Jei nuoroda nedatuota, taikomas vėliausia nurodyto dokumento (įskaitant keitinius) leidimas.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following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indispensable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application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cited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undated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latest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</w:rPr>
              <w:t>including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amendments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99199C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c) </w:t>
            </w:r>
            <w:r w:rsidRPr="000A1945"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Taikoma sąlyga tik dažymui ant karštai cinkuoto paviršiaus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hot-dip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 </w:t>
            </w:r>
            <w:proofErr w:type="spellStart"/>
            <w:r w:rsidRPr="000A1945">
              <w:rPr>
                <w:rFonts w:ascii="Trebuchet MS" w:hAnsi="Trebuchet MS" w:cs="Arial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painting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case</w:t>
            </w:r>
            <w:proofErr w:type="spellEnd"/>
          </w:p>
          <w:p w14:paraId="41C5B13A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Žymėjimai: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Indexes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582CC58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(1)</w:t>
            </w:r>
            <w:r w:rsidRPr="000A1945">
              <w:rPr>
                <w:rFonts w:ascii="Trebuchet MS" w:hAnsi="Trebuchet MS" w:cs="Arial"/>
              </w:rPr>
              <w:t xml:space="preserve"> - Projektuojant reikalavimai gali būti koreguojami, </w:t>
            </w:r>
            <w:r w:rsidRPr="000A1945">
              <w:rPr>
                <w:rFonts w:ascii="Trebuchet MS" w:hAnsi="Trebuchet MS" w:cs="Arial"/>
                <w:b/>
              </w:rPr>
              <w:t>tačiau tik griežtinant reikalavimus,</w:t>
            </w:r>
            <w:r w:rsidRPr="000A1945">
              <w:rPr>
                <w:rFonts w:ascii="Trebuchet MS" w:hAnsi="Trebuchet MS" w:cs="Arial"/>
              </w:rPr>
              <w:t xml:space="preserve"> atsižvelgiant į faktinius aplinkos sąlygų duomenis. </w:t>
            </w:r>
            <w:r w:rsidRPr="000A1945">
              <w:rPr>
                <w:rFonts w:ascii="Trebuchet MS" w:hAnsi="Trebuchet MS" w:cs="Arial"/>
                <w:b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</w:rPr>
              <w:t>Requirement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adjusted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</w:rPr>
              <w:t>desing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process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severe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depending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actual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environmental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data.</w:t>
            </w:r>
          </w:p>
          <w:p w14:paraId="48A3970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highlight w:val="red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</w:rPr>
              <w:t xml:space="preserve"> – Valant srautiniu abrazyviniu pūtimu, privalcuoto šlako oksido plėvelė turi būti pašalinta. / </w:t>
            </w:r>
            <w:proofErr w:type="spellStart"/>
            <w:r w:rsidRPr="000A1945">
              <w:rPr>
                <w:rFonts w:ascii="Trebuchet MS" w:hAnsi="Trebuchet MS" w:cs="Arial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used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slag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oxide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film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has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be </w:t>
            </w:r>
            <w:proofErr w:type="spellStart"/>
            <w:r w:rsidRPr="000A1945">
              <w:rPr>
                <w:rFonts w:ascii="Trebuchet MS" w:hAnsi="Trebuchet MS" w:cs="Arial"/>
              </w:rPr>
              <w:t>removed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46E4C09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 xml:space="preserve"> - Papildoma gamintojo teikiamos produkcijos kontrolė bus atliekama pareikalavus statinio techninei priežiūrai / </w:t>
            </w:r>
            <w:proofErr w:type="spellStart"/>
            <w:r w:rsidRPr="000A1945">
              <w:rPr>
                <w:rFonts w:ascii="Trebuchet MS" w:hAnsi="Trebuchet MS" w:cs="Arial"/>
              </w:rPr>
              <w:t>Additional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manufacturer's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production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control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will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carried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out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demand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supervisor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0BDB97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(4)</w:t>
            </w:r>
            <w:r w:rsidRPr="000A1945">
              <w:rPr>
                <w:rFonts w:ascii="Trebuchet MS" w:hAnsi="Trebuchet MS" w:cs="Arial"/>
              </w:rPr>
              <w:t xml:space="preserve"> – Deklaruojama reikšmė cinkuotų plieninių konstrukcijų eksploatacinių savybių deklaracijoje.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structures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1981358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– Pliene esančių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P kiekiai nurodomi žaliavų sertifikatuose, kurie pateikiami kartu su eksploatacinių savybių deklaracija. /</w:t>
            </w:r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Steel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in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the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Si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and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P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quantities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of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raw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material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certificates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presented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together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0CEEEBA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</w:rPr>
            </w:pPr>
            <w:r w:rsidRPr="005C4A76">
              <w:rPr>
                <w:rFonts w:ascii="Trebuchet MS" w:hAnsi="Trebuchet MS" w:cs="Arial"/>
                <w:b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</w:rPr>
              <w:t xml:space="preserve"> – Bendras cinko dangos pažeidimų plotas neturi viršyti </w:t>
            </w:r>
            <w:r w:rsidRPr="000A1945">
              <w:rPr>
                <w:rStyle w:val="A0"/>
                <w:rFonts w:ascii="Trebuchet MS" w:hAnsi="Trebuchet MS"/>
              </w:rPr>
              <w:t>0.5 % viso konstrukcijos ploto arba 10cm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/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damage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must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not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exeed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0.5 %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of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total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construction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area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,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10 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>.</w:t>
            </w:r>
          </w:p>
          <w:p w14:paraId="44D2882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</w:rPr>
              <w:t xml:space="preserve"> – Atnaujinto ploto sluoksnio storis turi būti ne mažesnis kaip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didesnis už minimalų leistiną storį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Renewed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space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should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higher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permitted</w:t>
            </w:r>
            <w:proofErr w:type="spellEnd"/>
          </w:p>
        </w:tc>
      </w:tr>
    </w:tbl>
    <w:p w14:paraId="2E84397E" w14:textId="77777777" w:rsidR="00195D44" w:rsidRPr="000A1945" w:rsidRDefault="00195D44" w:rsidP="00BE4A3D">
      <w:pPr>
        <w:rPr>
          <w:rFonts w:ascii="Trebuchet MS" w:hAnsi="Trebuchet MS"/>
          <w:b/>
        </w:rPr>
      </w:pPr>
    </w:p>
    <w:sectPr w:rsidR="00195D44" w:rsidRPr="000A1945" w:rsidSect="005C4A76">
      <w:footerReference w:type="default" r:id="rId8"/>
      <w:pgSz w:w="11906" w:h="16838"/>
      <w:pgMar w:top="1134" w:right="567" w:bottom="1134" w:left="1701" w:header="851" w:footer="82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9A3C" w14:textId="77777777" w:rsidR="003B6DC6" w:rsidRDefault="003B6DC6" w:rsidP="00387992">
      <w:pPr>
        <w:spacing w:after="0" w:line="240" w:lineRule="auto"/>
      </w:pPr>
      <w:r>
        <w:separator/>
      </w:r>
    </w:p>
  </w:endnote>
  <w:endnote w:type="continuationSeparator" w:id="0">
    <w:p w14:paraId="431807D3" w14:textId="77777777" w:rsidR="003B6DC6" w:rsidRDefault="003B6DC6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088904"/>
      <w:docPartObj>
        <w:docPartGallery w:val="Page Numbers (Bottom of Page)"/>
        <w:docPartUnique/>
      </w:docPartObj>
    </w:sdtPr>
    <w:sdtEndPr/>
    <w:sdtContent>
      <w:sdt>
        <w:sdtPr>
          <w:id w:val="1441953013"/>
          <w:docPartObj>
            <w:docPartGallery w:val="Page Numbers (Top of Page)"/>
            <w:docPartUnique/>
          </w:docPartObj>
        </w:sdtPr>
        <w:sdtEndPr/>
        <w:sdtContent>
          <w:p w14:paraId="36457FC9" w14:textId="77777777" w:rsidR="00871B54" w:rsidRPr="009C42CB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 w:rsidRPr="009C42CB">
              <w:rPr>
                <w:rFonts w:ascii="Arial" w:hAnsi="Arial" w:cs="Arial"/>
                <w:sz w:val="18"/>
                <w:szCs w:val="18"/>
              </w:rPr>
              <w:t xml:space="preserve">110 ÷ 400 KV 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įtampos </w:t>
            </w:r>
            <w:r w:rsidRPr="009C42CB">
              <w:rPr>
                <w:rFonts w:ascii="Arial" w:hAnsi="Arial" w:cs="Arial"/>
                <w:sz w:val="18"/>
                <w:szCs w:val="18"/>
              </w:rPr>
              <w:t>pastočių, sk</w:t>
            </w:r>
            <w:r w:rsidR="0061274A">
              <w:rPr>
                <w:rFonts w:ascii="Arial" w:hAnsi="Arial" w:cs="Arial"/>
                <w:sz w:val="18"/>
                <w:szCs w:val="18"/>
              </w:rPr>
              <w:t>irstyklų įrenginių ir oro</w:t>
            </w:r>
            <w:r w:rsidR="0061274A">
              <w:rPr>
                <w:rFonts w:ascii="Arial" w:hAnsi="Arial" w:cs="Arial"/>
                <w:sz w:val="18"/>
                <w:szCs w:val="18"/>
              </w:rPr>
              <w:tab/>
              <w:t xml:space="preserve">              Standard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110 ÷ 400kV </w:t>
            </w:r>
            <w:proofErr w:type="spellStart"/>
            <w:r w:rsidR="00EC1442">
              <w:rPr>
                <w:rFonts w:ascii="Arial" w:hAnsi="Arial" w:cs="Arial"/>
                <w:sz w:val="18"/>
                <w:szCs w:val="18"/>
              </w:rPr>
              <w:t>substation</w:t>
            </w:r>
            <w:proofErr w:type="spellEnd"/>
            <w:r w:rsidR="00EC144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34410D9" w14:textId="77777777" w:rsidR="00871B54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linijų </w:t>
            </w:r>
            <w:r w:rsidR="00871B54">
              <w:rPr>
                <w:rFonts w:ascii="Arial" w:hAnsi="Arial" w:cs="Arial"/>
                <w:sz w:val="18"/>
                <w:szCs w:val="18"/>
              </w:rPr>
              <w:t>p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>lieninių konstrukcijų dengim</w:t>
            </w:r>
            <w:r w:rsidR="00871B54">
              <w:rPr>
                <w:rFonts w:ascii="Arial" w:hAnsi="Arial" w:cs="Arial"/>
                <w:sz w:val="18"/>
                <w:szCs w:val="18"/>
              </w:rPr>
              <w:t>o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 xml:space="preserve"> cinku karštuoju būdu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switch</w:t>
            </w:r>
            <w:r w:rsidR="00EC1442">
              <w:rPr>
                <w:rFonts w:ascii="Arial" w:hAnsi="Arial" w:cs="Arial"/>
                <w:sz w:val="18"/>
                <w:szCs w:val="18"/>
              </w:rPr>
              <w:t>yard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equipment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owerhead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</w:t>
            </w:r>
            <w:proofErr w:type="spellEnd"/>
          </w:p>
          <w:p w14:paraId="05470B9C" w14:textId="77777777" w:rsidR="00871B54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standartiniai techniniai reikalavimai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coatings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fabricated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iron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  <w:p w14:paraId="11950AAF" w14:textId="77777777" w:rsidR="0061274A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</w:p>
          <w:p w14:paraId="1DC79918" w14:textId="77777777" w:rsidR="00871B54" w:rsidRDefault="00871B54" w:rsidP="009C42CB">
            <w:pPr>
              <w:pStyle w:val="Footer"/>
              <w:jc w:val="center"/>
            </w:pPr>
            <w:r w:rsidRPr="009C42CB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C42CB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68F9" w14:textId="77777777" w:rsidR="003B6DC6" w:rsidRDefault="003B6DC6" w:rsidP="00387992">
      <w:pPr>
        <w:spacing w:after="0" w:line="240" w:lineRule="auto"/>
      </w:pPr>
      <w:r>
        <w:separator/>
      </w:r>
    </w:p>
  </w:footnote>
  <w:footnote w:type="continuationSeparator" w:id="0">
    <w:p w14:paraId="5A73B04B" w14:textId="77777777" w:rsidR="003B6DC6" w:rsidRDefault="003B6DC6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4FD"/>
    <w:multiLevelType w:val="hybridMultilevel"/>
    <w:tmpl w:val="C53C2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1CE"/>
    <w:rsid w:val="000003FB"/>
    <w:rsid w:val="0000531F"/>
    <w:rsid w:val="000101D0"/>
    <w:rsid w:val="000222F9"/>
    <w:rsid w:val="00023AD2"/>
    <w:rsid w:val="00030E3B"/>
    <w:rsid w:val="00043BFF"/>
    <w:rsid w:val="00044A9F"/>
    <w:rsid w:val="00044D3A"/>
    <w:rsid w:val="00052659"/>
    <w:rsid w:val="00054295"/>
    <w:rsid w:val="00055538"/>
    <w:rsid w:val="00060D52"/>
    <w:rsid w:val="00072423"/>
    <w:rsid w:val="0008152E"/>
    <w:rsid w:val="000816A4"/>
    <w:rsid w:val="0009276F"/>
    <w:rsid w:val="00097E09"/>
    <w:rsid w:val="000A1945"/>
    <w:rsid w:val="000B0D0A"/>
    <w:rsid w:val="000B43E9"/>
    <w:rsid w:val="000B477E"/>
    <w:rsid w:val="000D2902"/>
    <w:rsid w:val="000D6DAB"/>
    <w:rsid w:val="000E6391"/>
    <w:rsid w:val="000F12AC"/>
    <w:rsid w:val="000F3389"/>
    <w:rsid w:val="00106D98"/>
    <w:rsid w:val="001077B2"/>
    <w:rsid w:val="00107E9C"/>
    <w:rsid w:val="0011298D"/>
    <w:rsid w:val="00112BBC"/>
    <w:rsid w:val="0011548D"/>
    <w:rsid w:val="00117DD8"/>
    <w:rsid w:val="001212B0"/>
    <w:rsid w:val="0012304B"/>
    <w:rsid w:val="00125372"/>
    <w:rsid w:val="00131163"/>
    <w:rsid w:val="00141E15"/>
    <w:rsid w:val="00142F51"/>
    <w:rsid w:val="00165CDB"/>
    <w:rsid w:val="00174EE9"/>
    <w:rsid w:val="001754C9"/>
    <w:rsid w:val="00185624"/>
    <w:rsid w:val="00195D44"/>
    <w:rsid w:val="001A5443"/>
    <w:rsid w:val="001A6429"/>
    <w:rsid w:val="001A7B47"/>
    <w:rsid w:val="001B1D13"/>
    <w:rsid w:val="001C113D"/>
    <w:rsid w:val="001D1F36"/>
    <w:rsid w:val="001F445E"/>
    <w:rsid w:val="001F6609"/>
    <w:rsid w:val="00201909"/>
    <w:rsid w:val="0020234E"/>
    <w:rsid w:val="00202B6A"/>
    <w:rsid w:val="00203BD9"/>
    <w:rsid w:val="00210683"/>
    <w:rsid w:val="00212B5E"/>
    <w:rsid w:val="00227A3B"/>
    <w:rsid w:val="00230BD6"/>
    <w:rsid w:val="00232ED7"/>
    <w:rsid w:val="00244CD2"/>
    <w:rsid w:val="00246A9E"/>
    <w:rsid w:val="0025098E"/>
    <w:rsid w:val="0025671B"/>
    <w:rsid w:val="0026012D"/>
    <w:rsid w:val="00265F96"/>
    <w:rsid w:val="002756AD"/>
    <w:rsid w:val="0027754B"/>
    <w:rsid w:val="00277CE2"/>
    <w:rsid w:val="002852C8"/>
    <w:rsid w:val="00297091"/>
    <w:rsid w:val="002A0175"/>
    <w:rsid w:val="002A2B70"/>
    <w:rsid w:val="002A7E29"/>
    <w:rsid w:val="002B2DF3"/>
    <w:rsid w:val="002B4C50"/>
    <w:rsid w:val="002C0489"/>
    <w:rsid w:val="002D0D56"/>
    <w:rsid w:val="002D0F98"/>
    <w:rsid w:val="002D65B1"/>
    <w:rsid w:val="002F0D82"/>
    <w:rsid w:val="002F2729"/>
    <w:rsid w:val="002F3536"/>
    <w:rsid w:val="002F3A87"/>
    <w:rsid w:val="0030064A"/>
    <w:rsid w:val="003024BB"/>
    <w:rsid w:val="00305161"/>
    <w:rsid w:val="00315069"/>
    <w:rsid w:val="0031715F"/>
    <w:rsid w:val="003247E8"/>
    <w:rsid w:val="00337757"/>
    <w:rsid w:val="00344AB2"/>
    <w:rsid w:val="00355B40"/>
    <w:rsid w:val="00360CF4"/>
    <w:rsid w:val="00362E3E"/>
    <w:rsid w:val="003758DE"/>
    <w:rsid w:val="003807C9"/>
    <w:rsid w:val="0038490E"/>
    <w:rsid w:val="003868B9"/>
    <w:rsid w:val="00387992"/>
    <w:rsid w:val="00394BCD"/>
    <w:rsid w:val="00395C90"/>
    <w:rsid w:val="003A4591"/>
    <w:rsid w:val="003A4ABA"/>
    <w:rsid w:val="003A6F4F"/>
    <w:rsid w:val="003B3CD4"/>
    <w:rsid w:val="003B4428"/>
    <w:rsid w:val="003B4B49"/>
    <w:rsid w:val="003B6DC6"/>
    <w:rsid w:val="003B75ED"/>
    <w:rsid w:val="003C1EF3"/>
    <w:rsid w:val="003C41F4"/>
    <w:rsid w:val="003D218A"/>
    <w:rsid w:val="003E53CB"/>
    <w:rsid w:val="003E711D"/>
    <w:rsid w:val="003F0E9A"/>
    <w:rsid w:val="003F3A65"/>
    <w:rsid w:val="003F6AA1"/>
    <w:rsid w:val="003F7392"/>
    <w:rsid w:val="00401F09"/>
    <w:rsid w:val="00401FDB"/>
    <w:rsid w:val="0040531B"/>
    <w:rsid w:val="0042096B"/>
    <w:rsid w:val="0042164C"/>
    <w:rsid w:val="004229D6"/>
    <w:rsid w:val="0042345C"/>
    <w:rsid w:val="0042416A"/>
    <w:rsid w:val="00441FCF"/>
    <w:rsid w:val="00442AA8"/>
    <w:rsid w:val="00443DD7"/>
    <w:rsid w:val="0044427D"/>
    <w:rsid w:val="004448E1"/>
    <w:rsid w:val="004458C3"/>
    <w:rsid w:val="00451244"/>
    <w:rsid w:val="004522B5"/>
    <w:rsid w:val="004536FE"/>
    <w:rsid w:val="00453FE4"/>
    <w:rsid w:val="0045540D"/>
    <w:rsid w:val="004576FC"/>
    <w:rsid w:val="004611C6"/>
    <w:rsid w:val="004627DA"/>
    <w:rsid w:val="00462DC0"/>
    <w:rsid w:val="00463154"/>
    <w:rsid w:val="00463EE5"/>
    <w:rsid w:val="00465382"/>
    <w:rsid w:val="00466A55"/>
    <w:rsid w:val="00472246"/>
    <w:rsid w:val="00472932"/>
    <w:rsid w:val="00473121"/>
    <w:rsid w:val="00473E59"/>
    <w:rsid w:val="00480AF3"/>
    <w:rsid w:val="00483014"/>
    <w:rsid w:val="00483B59"/>
    <w:rsid w:val="00483E03"/>
    <w:rsid w:val="00487988"/>
    <w:rsid w:val="00496072"/>
    <w:rsid w:val="004A675A"/>
    <w:rsid w:val="004B11E9"/>
    <w:rsid w:val="004C1396"/>
    <w:rsid w:val="004C2A84"/>
    <w:rsid w:val="004C4FD9"/>
    <w:rsid w:val="004C77C3"/>
    <w:rsid w:val="004D3B36"/>
    <w:rsid w:val="004E1BC7"/>
    <w:rsid w:val="004E6707"/>
    <w:rsid w:val="004F7CFC"/>
    <w:rsid w:val="00500323"/>
    <w:rsid w:val="00504661"/>
    <w:rsid w:val="00510BDC"/>
    <w:rsid w:val="005167AD"/>
    <w:rsid w:val="00517459"/>
    <w:rsid w:val="00517C0E"/>
    <w:rsid w:val="00524A69"/>
    <w:rsid w:val="00526D57"/>
    <w:rsid w:val="00527F3C"/>
    <w:rsid w:val="00531716"/>
    <w:rsid w:val="005329DB"/>
    <w:rsid w:val="00535866"/>
    <w:rsid w:val="0054171C"/>
    <w:rsid w:val="00547D8E"/>
    <w:rsid w:val="00564B1C"/>
    <w:rsid w:val="00566DBF"/>
    <w:rsid w:val="00573649"/>
    <w:rsid w:val="00582602"/>
    <w:rsid w:val="00584545"/>
    <w:rsid w:val="00584A68"/>
    <w:rsid w:val="00587AAA"/>
    <w:rsid w:val="00591813"/>
    <w:rsid w:val="00591E11"/>
    <w:rsid w:val="005927FD"/>
    <w:rsid w:val="00592FAC"/>
    <w:rsid w:val="00594438"/>
    <w:rsid w:val="005A1F94"/>
    <w:rsid w:val="005A766A"/>
    <w:rsid w:val="005A7CC3"/>
    <w:rsid w:val="005B1BEE"/>
    <w:rsid w:val="005B57BB"/>
    <w:rsid w:val="005C4A76"/>
    <w:rsid w:val="005C6FB7"/>
    <w:rsid w:val="005D51FA"/>
    <w:rsid w:val="005E2238"/>
    <w:rsid w:val="005E2BD7"/>
    <w:rsid w:val="005F30E1"/>
    <w:rsid w:val="005F3291"/>
    <w:rsid w:val="005F5479"/>
    <w:rsid w:val="005F5907"/>
    <w:rsid w:val="005F65FD"/>
    <w:rsid w:val="005F7135"/>
    <w:rsid w:val="005F7B35"/>
    <w:rsid w:val="006006CB"/>
    <w:rsid w:val="0061274A"/>
    <w:rsid w:val="0061632B"/>
    <w:rsid w:val="00616D8E"/>
    <w:rsid w:val="00623115"/>
    <w:rsid w:val="00624231"/>
    <w:rsid w:val="006253B7"/>
    <w:rsid w:val="00625D5A"/>
    <w:rsid w:val="006275C8"/>
    <w:rsid w:val="0063797C"/>
    <w:rsid w:val="00642CD6"/>
    <w:rsid w:val="00644E0D"/>
    <w:rsid w:val="00654346"/>
    <w:rsid w:val="00663E86"/>
    <w:rsid w:val="00665070"/>
    <w:rsid w:val="00665E5B"/>
    <w:rsid w:val="00667DDA"/>
    <w:rsid w:val="00680A9C"/>
    <w:rsid w:val="00681906"/>
    <w:rsid w:val="00681924"/>
    <w:rsid w:val="006854EE"/>
    <w:rsid w:val="00686333"/>
    <w:rsid w:val="00694622"/>
    <w:rsid w:val="006A33BE"/>
    <w:rsid w:val="006A5877"/>
    <w:rsid w:val="006B0E05"/>
    <w:rsid w:val="006B4245"/>
    <w:rsid w:val="006C3553"/>
    <w:rsid w:val="006C62C2"/>
    <w:rsid w:val="006C6767"/>
    <w:rsid w:val="006D10BF"/>
    <w:rsid w:val="006D3379"/>
    <w:rsid w:val="006D79C1"/>
    <w:rsid w:val="006E5C7C"/>
    <w:rsid w:val="006E7921"/>
    <w:rsid w:val="006F0691"/>
    <w:rsid w:val="006F06C6"/>
    <w:rsid w:val="006F2D2B"/>
    <w:rsid w:val="006F3EBB"/>
    <w:rsid w:val="00700EA1"/>
    <w:rsid w:val="007147D3"/>
    <w:rsid w:val="0072522E"/>
    <w:rsid w:val="00731585"/>
    <w:rsid w:val="00736576"/>
    <w:rsid w:val="007417C6"/>
    <w:rsid w:val="00744F00"/>
    <w:rsid w:val="0074600F"/>
    <w:rsid w:val="007468FC"/>
    <w:rsid w:val="00747E45"/>
    <w:rsid w:val="00753AC4"/>
    <w:rsid w:val="00756050"/>
    <w:rsid w:val="0076465B"/>
    <w:rsid w:val="00764C81"/>
    <w:rsid w:val="00767072"/>
    <w:rsid w:val="0077231E"/>
    <w:rsid w:val="00773FA0"/>
    <w:rsid w:val="00785E45"/>
    <w:rsid w:val="0078797E"/>
    <w:rsid w:val="00791969"/>
    <w:rsid w:val="007944BC"/>
    <w:rsid w:val="00794DA4"/>
    <w:rsid w:val="007C062D"/>
    <w:rsid w:val="007C1D02"/>
    <w:rsid w:val="007C4D04"/>
    <w:rsid w:val="007D18F9"/>
    <w:rsid w:val="007D1C86"/>
    <w:rsid w:val="007D3F17"/>
    <w:rsid w:val="007D79A3"/>
    <w:rsid w:val="007E6643"/>
    <w:rsid w:val="007E7819"/>
    <w:rsid w:val="007F24C3"/>
    <w:rsid w:val="007F35D0"/>
    <w:rsid w:val="007F362D"/>
    <w:rsid w:val="0080277F"/>
    <w:rsid w:val="008042A3"/>
    <w:rsid w:val="00810831"/>
    <w:rsid w:val="008117FF"/>
    <w:rsid w:val="00812C50"/>
    <w:rsid w:val="00815DAF"/>
    <w:rsid w:val="00817CE0"/>
    <w:rsid w:val="00823327"/>
    <w:rsid w:val="00825ACF"/>
    <w:rsid w:val="008279FD"/>
    <w:rsid w:val="00831DE1"/>
    <w:rsid w:val="0083311A"/>
    <w:rsid w:val="008370C1"/>
    <w:rsid w:val="00854EA3"/>
    <w:rsid w:val="008613A2"/>
    <w:rsid w:val="00862F7D"/>
    <w:rsid w:val="00867DE3"/>
    <w:rsid w:val="00871B54"/>
    <w:rsid w:val="00875CE9"/>
    <w:rsid w:val="00876AC7"/>
    <w:rsid w:val="008775DD"/>
    <w:rsid w:val="00881AB9"/>
    <w:rsid w:val="008829B2"/>
    <w:rsid w:val="00890555"/>
    <w:rsid w:val="00892CDF"/>
    <w:rsid w:val="00892DD4"/>
    <w:rsid w:val="00892F8F"/>
    <w:rsid w:val="00897991"/>
    <w:rsid w:val="008A317D"/>
    <w:rsid w:val="008A50AA"/>
    <w:rsid w:val="008B2960"/>
    <w:rsid w:val="008B30C3"/>
    <w:rsid w:val="008B523A"/>
    <w:rsid w:val="008C56A6"/>
    <w:rsid w:val="008C7FCF"/>
    <w:rsid w:val="008D4357"/>
    <w:rsid w:val="008E237A"/>
    <w:rsid w:val="008F0607"/>
    <w:rsid w:val="008F2DD5"/>
    <w:rsid w:val="008F5015"/>
    <w:rsid w:val="009048E6"/>
    <w:rsid w:val="009139F7"/>
    <w:rsid w:val="0091497E"/>
    <w:rsid w:val="009201C4"/>
    <w:rsid w:val="00926095"/>
    <w:rsid w:val="00926D24"/>
    <w:rsid w:val="00927D0F"/>
    <w:rsid w:val="00930E0D"/>
    <w:rsid w:val="00932F32"/>
    <w:rsid w:val="00941C86"/>
    <w:rsid w:val="009517EB"/>
    <w:rsid w:val="00953F5C"/>
    <w:rsid w:val="00956FC2"/>
    <w:rsid w:val="00960E5E"/>
    <w:rsid w:val="00967C30"/>
    <w:rsid w:val="00970B82"/>
    <w:rsid w:val="0098711A"/>
    <w:rsid w:val="009877E8"/>
    <w:rsid w:val="009A0454"/>
    <w:rsid w:val="009A3F9C"/>
    <w:rsid w:val="009A6766"/>
    <w:rsid w:val="009B0572"/>
    <w:rsid w:val="009C374A"/>
    <w:rsid w:val="009C3AF6"/>
    <w:rsid w:val="009C42CB"/>
    <w:rsid w:val="009D3DF9"/>
    <w:rsid w:val="009E0D01"/>
    <w:rsid w:val="009E1A90"/>
    <w:rsid w:val="009E37B8"/>
    <w:rsid w:val="009E5123"/>
    <w:rsid w:val="00A01B33"/>
    <w:rsid w:val="00A024E5"/>
    <w:rsid w:val="00A06B5B"/>
    <w:rsid w:val="00A07141"/>
    <w:rsid w:val="00A12E8D"/>
    <w:rsid w:val="00A15E42"/>
    <w:rsid w:val="00A2439B"/>
    <w:rsid w:val="00A24DDF"/>
    <w:rsid w:val="00A26D1A"/>
    <w:rsid w:val="00A303B7"/>
    <w:rsid w:val="00A338DA"/>
    <w:rsid w:val="00A37967"/>
    <w:rsid w:val="00A40A6F"/>
    <w:rsid w:val="00A42536"/>
    <w:rsid w:val="00A56672"/>
    <w:rsid w:val="00A57542"/>
    <w:rsid w:val="00A63718"/>
    <w:rsid w:val="00A645EB"/>
    <w:rsid w:val="00A736BA"/>
    <w:rsid w:val="00A743B1"/>
    <w:rsid w:val="00A9576D"/>
    <w:rsid w:val="00A96993"/>
    <w:rsid w:val="00AB0CEC"/>
    <w:rsid w:val="00AB0F11"/>
    <w:rsid w:val="00AB4415"/>
    <w:rsid w:val="00AB6525"/>
    <w:rsid w:val="00AC462F"/>
    <w:rsid w:val="00AC4B19"/>
    <w:rsid w:val="00AD0891"/>
    <w:rsid w:val="00AD1D32"/>
    <w:rsid w:val="00AE61F9"/>
    <w:rsid w:val="00AF13CB"/>
    <w:rsid w:val="00AF3F37"/>
    <w:rsid w:val="00B0174C"/>
    <w:rsid w:val="00B070F5"/>
    <w:rsid w:val="00B1420A"/>
    <w:rsid w:val="00B14ADB"/>
    <w:rsid w:val="00B211C5"/>
    <w:rsid w:val="00B27AAF"/>
    <w:rsid w:val="00B3056D"/>
    <w:rsid w:val="00B311B5"/>
    <w:rsid w:val="00B32A6C"/>
    <w:rsid w:val="00B35773"/>
    <w:rsid w:val="00B414FB"/>
    <w:rsid w:val="00B4617C"/>
    <w:rsid w:val="00B56EB7"/>
    <w:rsid w:val="00B61A48"/>
    <w:rsid w:val="00B67B38"/>
    <w:rsid w:val="00B70F31"/>
    <w:rsid w:val="00B7152A"/>
    <w:rsid w:val="00B72889"/>
    <w:rsid w:val="00B765D8"/>
    <w:rsid w:val="00B7741F"/>
    <w:rsid w:val="00B835B6"/>
    <w:rsid w:val="00B8369B"/>
    <w:rsid w:val="00B83A05"/>
    <w:rsid w:val="00B86AE3"/>
    <w:rsid w:val="00B86E88"/>
    <w:rsid w:val="00B90D7F"/>
    <w:rsid w:val="00B96955"/>
    <w:rsid w:val="00BA15AA"/>
    <w:rsid w:val="00BA1707"/>
    <w:rsid w:val="00BB493F"/>
    <w:rsid w:val="00BB66A1"/>
    <w:rsid w:val="00BC2944"/>
    <w:rsid w:val="00BC3BE2"/>
    <w:rsid w:val="00BC46BE"/>
    <w:rsid w:val="00BC55BF"/>
    <w:rsid w:val="00BC5C6C"/>
    <w:rsid w:val="00BC5DC7"/>
    <w:rsid w:val="00BE029E"/>
    <w:rsid w:val="00BE05A4"/>
    <w:rsid w:val="00BE4654"/>
    <w:rsid w:val="00BE4A3D"/>
    <w:rsid w:val="00BE6260"/>
    <w:rsid w:val="00BF148E"/>
    <w:rsid w:val="00C0079B"/>
    <w:rsid w:val="00C03FF7"/>
    <w:rsid w:val="00C1703D"/>
    <w:rsid w:val="00C20B0A"/>
    <w:rsid w:val="00C31C57"/>
    <w:rsid w:val="00C32065"/>
    <w:rsid w:val="00C35A5A"/>
    <w:rsid w:val="00C43069"/>
    <w:rsid w:val="00C44094"/>
    <w:rsid w:val="00C56329"/>
    <w:rsid w:val="00C621BC"/>
    <w:rsid w:val="00C62972"/>
    <w:rsid w:val="00C62A2A"/>
    <w:rsid w:val="00C632FE"/>
    <w:rsid w:val="00C73603"/>
    <w:rsid w:val="00C8186F"/>
    <w:rsid w:val="00C84ADA"/>
    <w:rsid w:val="00C86910"/>
    <w:rsid w:val="00C874C4"/>
    <w:rsid w:val="00C9031D"/>
    <w:rsid w:val="00C90415"/>
    <w:rsid w:val="00C91985"/>
    <w:rsid w:val="00C977EA"/>
    <w:rsid w:val="00C978A5"/>
    <w:rsid w:val="00CA43D8"/>
    <w:rsid w:val="00CB0D17"/>
    <w:rsid w:val="00CB4956"/>
    <w:rsid w:val="00CB5DF5"/>
    <w:rsid w:val="00CC2D07"/>
    <w:rsid w:val="00CC4239"/>
    <w:rsid w:val="00CD05D0"/>
    <w:rsid w:val="00CD0819"/>
    <w:rsid w:val="00CD13B5"/>
    <w:rsid w:val="00CD3372"/>
    <w:rsid w:val="00CD3C26"/>
    <w:rsid w:val="00CD4CFB"/>
    <w:rsid w:val="00CD6FEE"/>
    <w:rsid w:val="00CE3D21"/>
    <w:rsid w:val="00CE7E9A"/>
    <w:rsid w:val="00CF3361"/>
    <w:rsid w:val="00D14FC2"/>
    <w:rsid w:val="00D15DAC"/>
    <w:rsid w:val="00D17ECB"/>
    <w:rsid w:val="00D2269B"/>
    <w:rsid w:val="00D25795"/>
    <w:rsid w:val="00D25EEF"/>
    <w:rsid w:val="00D329B5"/>
    <w:rsid w:val="00D36A66"/>
    <w:rsid w:val="00D43407"/>
    <w:rsid w:val="00D45B84"/>
    <w:rsid w:val="00D50AC1"/>
    <w:rsid w:val="00D52462"/>
    <w:rsid w:val="00D53445"/>
    <w:rsid w:val="00D647F4"/>
    <w:rsid w:val="00D70434"/>
    <w:rsid w:val="00D70D9D"/>
    <w:rsid w:val="00D75794"/>
    <w:rsid w:val="00D77D5A"/>
    <w:rsid w:val="00D80A27"/>
    <w:rsid w:val="00D970AE"/>
    <w:rsid w:val="00D973F2"/>
    <w:rsid w:val="00DA04B6"/>
    <w:rsid w:val="00DA7024"/>
    <w:rsid w:val="00DB191E"/>
    <w:rsid w:val="00DB5274"/>
    <w:rsid w:val="00DB535D"/>
    <w:rsid w:val="00DB5394"/>
    <w:rsid w:val="00DC2BC8"/>
    <w:rsid w:val="00DC4233"/>
    <w:rsid w:val="00DD0D75"/>
    <w:rsid w:val="00DD317B"/>
    <w:rsid w:val="00DD6E1B"/>
    <w:rsid w:val="00DE0791"/>
    <w:rsid w:val="00DE2332"/>
    <w:rsid w:val="00DE7134"/>
    <w:rsid w:val="00DF1328"/>
    <w:rsid w:val="00DF2A45"/>
    <w:rsid w:val="00E1690F"/>
    <w:rsid w:val="00E33C08"/>
    <w:rsid w:val="00E4047E"/>
    <w:rsid w:val="00E422DD"/>
    <w:rsid w:val="00E51BB1"/>
    <w:rsid w:val="00E62F62"/>
    <w:rsid w:val="00E6638C"/>
    <w:rsid w:val="00E67EE8"/>
    <w:rsid w:val="00E708FD"/>
    <w:rsid w:val="00E71264"/>
    <w:rsid w:val="00E7128B"/>
    <w:rsid w:val="00E71349"/>
    <w:rsid w:val="00E735CC"/>
    <w:rsid w:val="00E779E5"/>
    <w:rsid w:val="00E818E6"/>
    <w:rsid w:val="00E90EF7"/>
    <w:rsid w:val="00E94DDA"/>
    <w:rsid w:val="00E97C4B"/>
    <w:rsid w:val="00EB165F"/>
    <w:rsid w:val="00EB1A77"/>
    <w:rsid w:val="00EB43C5"/>
    <w:rsid w:val="00EB53AC"/>
    <w:rsid w:val="00EB75EC"/>
    <w:rsid w:val="00EC1442"/>
    <w:rsid w:val="00EC67A9"/>
    <w:rsid w:val="00EC7351"/>
    <w:rsid w:val="00ED05B8"/>
    <w:rsid w:val="00ED09B5"/>
    <w:rsid w:val="00ED2A84"/>
    <w:rsid w:val="00EE0FF8"/>
    <w:rsid w:val="00EF523D"/>
    <w:rsid w:val="00F02BFA"/>
    <w:rsid w:val="00F02E5D"/>
    <w:rsid w:val="00F05F23"/>
    <w:rsid w:val="00F16C03"/>
    <w:rsid w:val="00F17420"/>
    <w:rsid w:val="00F21EA9"/>
    <w:rsid w:val="00F23673"/>
    <w:rsid w:val="00F23C5B"/>
    <w:rsid w:val="00F27EA5"/>
    <w:rsid w:val="00F3573B"/>
    <w:rsid w:val="00F507D0"/>
    <w:rsid w:val="00F51C32"/>
    <w:rsid w:val="00F52118"/>
    <w:rsid w:val="00F56B3A"/>
    <w:rsid w:val="00F57C0E"/>
    <w:rsid w:val="00F7188A"/>
    <w:rsid w:val="00F754DB"/>
    <w:rsid w:val="00F759C9"/>
    <w:rsid w:val="00F808AE"/>
    <w:rsid w:val="00F85010"/>
    <w:rsid w:val="00F91B92"/>
    <w:rsid w:val="00F9743C"/>
    <w:rsid w:val="00FA2B08"/>
    <w:rsid w:val="00FA3E9D"/>
    <w:rsid w:val="00FA4566"/>
    <w:rsid w:val="00FA6FA4"/>
    <w:rsid w:val="00FB0D53"/>
    <w:rsid w:val="00FB67E9"/>
    <w:rsid w:val="00FC095A"/>
    <w:rsid w:val="00FC2057"/>
    <w:rsid w:val="00FC3753"/>
    <w:rsid w:val="00FC5B36"/>
    <w:rsid w:val="00FD0118"/>
    <w:rsid w:val="00FD3CF9"/>
    <w:rsid w:val="00FD6F30"/>
    <w:rsid w:val="00FE35CD"/>
    <w:rsid w:val="00FE3CE3"/>
    <w:rsid w:val="00FF1C22"/>
    <w:rsid w:val="00FF46BB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1F0EC1"/>
  <w15:docId w15:val="{A5EEB0D7-F247-4EB6-BB75-6BB45A9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C113D"/>
    <w:pPr>
      <w:spacing w:after="0" w:line="240" w:lineRule="auto"/>
      <w:ind w:firstLine="709"/>
      <w:jc w:val="center"/>
    </w:pPr>
    <w:rPr>
      <w:rFonts w:ascii="TimesLT" w:eastAsia="Times New Roman" w:hAnsi="TimesLT" w:cs="Times New Roman"/>
      <w:b/>
      <w:sz w:val="18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113D"/>
    <w:rPr>
      <w:rFonts w:ascii="TimesLT" w:eastAsia="Times New Roman" w:hAnsi="TimesLT" w:cs="Times New Roman"/>
      <w:b/>
      <w:sz w:val="18"/>
      <w:szCs w:val="20"/>
      <w:lang w:eastAsia="lt-LT"/>
    </w:rPr>
  </w:style>
  <w:style w:type="paragraph" w:customStyle="1" w:styleId="Patvirtinta">
    <w:name w:val="Patvirtinta"/>
    <w:rsid w:val="001C113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MAZAS">
    <w:name w:val="MAZAS"/>
    <w:rsid w:val="001C113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US" w:eastAsia="lt-LT"/>
    </w:rPr>
  </w:style>
  <w:style w:type="paragraph" w:styleId="NormalWeb">
    <w:name w:val="Normal (Web)"/>
    <w:basedOn w:val="Normal"/>
    <w:uiPriority w:val="99"/>
    <w:semiHidden/>
    <w:unhideWhenUsed/>
    <w:rsid w:val="008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8B523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5D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4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0">
    <w:name w:val="A0"/>
    <w:uiPriority w:val="99"/>
    <w:rsid w:val="004627DA"/>
    <w:rPr>
      <w:color w:val="000000"/>
      <w:sz w:val="20"/>
      <w:szCs w:val="20"/>
    </w:rPr>
  </w:style>
  <w:style w:type="character" w:customStyle="1" w:styleId="A1">
    <w:name w:val="A1"/>
    <w:uiPriority w:val="99"/>
    <w:rsid w:val="004627DA"/>
    <w:rPr>
      <w:color w:val="000000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892C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9221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0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2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374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9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90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21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372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9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717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346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29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7625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034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https://projektai.intranet.litgrid.eu/PWA/OL%20Neris-VE3%20atš%20į%20Riešės%20TP%20keitimas%20į%20KL%20ir%20ŽTŠK%20įrengimas/_layouts/15/DocIdRedir.aspx?ID=PVIS-623172455-29</Url>
      <Description>PVIS-623172455-29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PVIS-623172455-29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D328A3C-C86A-45A0-8E1E-BE18A1DA4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4168E-2066-48A4-9C21-683CCD059727}"/>
</file>

<file path=customXml/itemProps3.xml><?xml version="1.0" encoding="utf-8"?>
<ds:datastoreItem xmlns:ds="http://schemas.openxmlformats.org/officeDocument/2006/customXml" ds:itemID="{5ADD714C-5D4C-42CC-8DA6-1EFD60E99337}"/>
</file>

<file path=customXml/itemProps4.xml><?xml version="1.0" encoding="utf-8"?>
<ds:datastoreItem xmlns:ds="http://schemas.openxmlformats.org/officeDocument/2006/customXml" ds:itemID="{3C01A02E-ED22-456E-8C37-7C7BD3C0BDDC}"/>
</file>

<file path=customXml/itemProps5.xml><?xml version="1.0" encoding="utf-8"?>
<ds:datastoreItem xmlns:ds="http://schemas.openxmlformats.org/officeDocument/2006/customXml" ds:itemID="{C1701954-776E-4E63-B06B-22A3F2B62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Živilė Razulevičiūtė</cp:lastModifiedBy>
  <cp:revision>2</cp:revision>
  <cp:lastPrinted>2016-04-11T11:24:00Z</cp:lastPrinted>
  <dcterms:created xsi:type="dcterms:W3CDTF">2020-06-28T19:08:00Z</dcterms:created>
  <dcterms:modified xsi:type="dcterms:W3CDTF">2020-06-28T19:08:00Z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e037969f-219a-4f57-956a-e45b279563cc</vt:lpwstr>
  </property>
</Properties>
</file>