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3621" w14:textId="3D6CABC7" w:rsidR="004F04CE" w:rsidRPr="004F04CE" w:rsidRDefault="004F04CE" w:rsidP="0020706C">
      <w:pPr>
        <w:shd w:val="clear" w:color="auto" w:fill="FFFFFF"/>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b/>
          <w:bCs/>
          <w:color w:val="242424"/>
          <w:sz w:val="20"/>
          <w:szCs w:val="20"/>
          <w:lang w:eastAsia="lt-LT"/>
        </w:rPr>
        <w:t>Reikalavimai pirkimo objekto atitikčiai nacionalinio saugumo interesams</w:t>
      </w:r>
    </w:p>
    <w:p w14:paraId="457D895F" w14:textId="77777777" w:rsidR="004F04CE" w:rsidRPr="004F04CE" w:rsidRDefault="004F04CE" w:rsidP="004F04CE">
      <w:pPr>
        <w:shd w:val="clear" w:color="auto" w:fill="FFFFFF"/>
        <w:spacing w:after="0" w:line="240" w:lineRule="auto"/>
        <w:ind w:left="360"/>
        <w:rPr>
          <w:rFonts w:ascii="Segoe UI" w:eastAsia="Times New Roman" w:hAnsi="Segoe UI" w:cs="Segoe UI"/>
          <w:color w:val="242424"/>
          <w:sz w:val="21"/>
          <w:szCs w:val="21"/>
          <w:lang w:eastAsia="lt-LT"/>
        </w:rPr>
      </w:pPr>
    </w:p>
    <w:tbl>
      <w:tblPr>
        <w:tblW w:w="4981" w:type="pct"/>
        <w:tblInd w:w="-172" w:type="dxa"/>
        <w:tblBorders>
          <w:top w:val="single" w:sz="24" w:space="0" w:color="D1D1D1"/>
          <w:left w:val="single" w:sz="24" w:space="0" w:color="D1D1D1"/>
          <w:bottom w:val="single" w:sz="24" w:space="0" w:color="D1D1D1"/>
          <w:right w:val="single" w:sz="24"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821"/>
        <w:gridCol w:w="8721"/>
      </w:tblGrid>
      <w:tr w:rsidR="004F04CE" w:rsidRPr="004F04CE" w14:paraId="4289D241"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vAlign w:val="center"/>
            <w:hideMark/>
          </w:tcPr>
          <w:p w14:paraId="7C0BE53D" w14:textId="77777777" w:rsidR="004F04CE" w:rsidRPr="004F04CE" w:rsidRDefault="004F04CE" w:rsidP="004F04CE">
            <w:pPr>
              <w:spacing w:after="0" w:line="240" w:lineRule="auto"/>
              <w:ind w:left="360"/>
              <w:jc w:val="center"/>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Eil. Nr.</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F664C4B"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Reikalavimas</w:t>
            </w:r>
          </w:p>
        </w:tc>
      </w:tr>
      <w:tr w:rsidR="004F04CE" w:rsidRPr="004F04CE" w14:paraId="2431A946"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3C53EEF1" w14:textId="77E1ABA3" w:rsidR="004F04CE" w:rsidRPr="004F04CE" w:rsidRDefault="006C07DF" w:rsidP="005F2B96">
            <w:pPr>
              <w:tabs>
                <w:tab w:val="left" w:pos="507"/>
              </w:tabs>
              <w:spacing w:before="100" w:beforeAutospacing="1" w:after="100" w:afterAutospacing="1" w:line="240" w:lineRule="auto"/>
              <w:ind w:left="82"/>
              <w:rPr>
                <w:rFonts w:ascii="Segoe UI" w:eastAsia="Times New Roman" w:hAnsi="Segoe UI" w:cs="Segoe UI"/>
                <w:color w:val="242424"/>
                <w:sz w:val="21"/>
                <w:szCs w:val="21"/>
                <w:lang w:eastAsia="lt-LT"/>
              </w:rPr>
            </w:pPr>
            <w:r>
              <w:rPr>
                <w:rFonts w:ascii="Segoe UI" w:eastAsia="Times New Roman" w:hAnsi="Segoe UI" w:cs="Segoe UI"/>
                <w:color w:val="242424"/>
                <w:sz w:val="21"/>
                <w:szCs w:val="21"/>
                <w:lang w:eastAsia="lt-LT"/>
              </w:rPr>
              <w:t>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vAlign w:val="center"/>
            <w:hideMark/>
          </w:tcPr>
          <w:p w14:paraId="7B025988"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Tiekėjas įsipareigoja, kad jo siūlomos prekės, paslaugos ar darbai nekels grėsmės nacionaliniam saugumui, t.y.:</w:t>
            </w:r>
          </w:p>
        </w:tc>
      </w:tr>
      <w:tr w:rsidR="004F04CE" w:rsidRPr="004F04CE" w14:paraId="579A5272"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2037A771" w14:textId="01A31D9D" w:rsidR="004F04CE" w:rsidRPr="004F04CE" w:rsidRDefault="004F04CE" w:rsidP="005F2B96">
            <w:pPr>
              <w:tabs>
                <w:tab w:val="num" w:pos="522"/>
              </w:tabs>
              <w:spacing w:after="0" w:line="240" w:lineRule="auto"/>
              <w:ind w:left="82"/>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1.1.  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21F58B2"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nebus sutrikdytas LITGRID AB  valdomos ryšių ir informacinės infrastruktūros, kurios yra reikšmingos LITGRID AB veiklai funkcionavimas; </w:t>
            </w:r>
          </w:p>
        </w:tc>
      </w:tr>
      <w:tr w:rsidR="004F04CE" w:rsidRPr="004F04CE" w14:paraId="7C1144E4"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5659B894" w14:textId="69B3CA54" w:rsidR="004F04CE" w:rsidRPr="004F04CE" w:rsidRDefault="004F04CE" w:rsidP="005F2B96">
            <w:pPr>
              <w:tabs>
                <w:tab w:val="num" w:pos="522"/>
              </w:tabs>
              <w:spacing w:after="0" w:line="240" w:lineRule="auto"/>
              <w:ind w:left="82"/>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1.2.  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4B0AE573" w14:textId="3165DE7F"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 xml:space="preserve">nebus sutrikdyta LITGRID AB, kaip nacionaliniam saugumui svarbios įmonės, </w:t>
            </w:r>
            <w:r w:rsidR="007E65EE" w:rsidRPr="004F04CE">
              <w:rPr>
                <w:rFonts w:ascii="Segoe UI" w:eastAsia="Times New Roman" w:hAnsi="Segoe UI" w:cs="Segoe UI"/>
                <w:color w:val="242424"/>
                <w:sz w:val="20"/>
                <w:szCs w:val="20"/>
                <w:lang w:eastAsia="lt-LT"/>
              </w:rPr>
              <w:t>veikl</w:t>
            </w:r>
            <w:r w:rsidR="007E65EE">
              <w:rPr>
                <w:rFonts w:ascii="Segoe UI" w:eastAsia="Times New Roman" w:hAnsi="Segoe UI" w:cs="Segoe UI"/>
                <w:color w:val="242424"/>
                <w:sz w:val="20"/>
                <w:szCs w:val="20"/>
                <w:lang w:eastAsia="lt-LT"/>
              </w:rPr>
              <w:t>a</w:t>
            </w:r>
            <w:r w:rsidRPr="004F04CE">
              <w:rPr>
                <w:rFonts w:ascii="Segoe UI" w:eastAsia="Times New Roman" w:hAnsi="Segoe UI" w:cs="Segoe UI"/>
                <w:color w:val="242424"/>
                <w:sz w:val="20"/>
                <w:szCs w:val="20"/>
                <w:lang w:eastAsia="lt-LT"/>
              </w:rPr>
              <w:t>;</w:t>
            </w:r>
          </w:p>
        </w:tc>
      </w:tr>
      <w:tr w:rsidR="004F04CE" w:rsidRPr="004F04CE" w14:paraId="1210B7E5"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3D8CD00C" w14:textId="2C15753F" w:rsidR="004F04CE" w:rsidRPr="004F04CE" w:rsidRDefault="004F04CE" w:rsidP="005F2B96">
            <w:pPr>
              <w:tabs>
                <w:tab w:val="num" w:pos="522"/>
              </w:tabs>
              <w:spacing w:after="0" w:line="240" w:lineRule="auto"/>
              <w:ind w:left="82"/>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1.3.  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E162184"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nebus siekiama neteisėtai išgauti valstybės ir tarnybos paslaptį sudarančią ar kitą neviešą (pvz., bendrovės konfidencialią) informaciją.</w:t>
            </w:r>
          </w:p>
        </w:tc>
      </w:tr>
      <w:tr w:rsidR="004F04CE" w:rsidRPr="004F04CE" w14:paraId="2FF1C427"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266B9818" w14:textId="4E3FB3D3" w:rsidR="004F04CE" w:rsidRPr="004F04CE" w:rsidRDefault="004F04CE" w:rsidP="005F2B96">
            <w:pPr>
              <w:tabs>
                <w:tab w:val="num" w:pos="522"/>
              </w:tabs>
              <w:spacing w:after="0" w:line="240" w:lineRule="auto"/>
              <w:ind w:left="82"/>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8B6AAA3"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siūlomos techninės ir programinės įrangos</w:t>
            </w:r>
          </w:p>
          <w:p w14:paraId="62BCE17D"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tiekėjas,</w:t>
            </w:r>
          </w:p>
          <w:p w14:paraId="0323740C"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subtiekėjas,</w:t>
            </w:r>
          </w:p>
          <w:p w14:paraId="0227989A"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ūkio subjektas, kurio pajėgumais yra remiamasi</w:t>
            </w:r>
          </w:p>
          <w:p w14:paraId="4415EDD1"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ar juos kontroliuojantis asmuo[1]</w:t>
            </w:r>
          </w:p>
          <w:p w14:paraId="1851394D" w14:textId="77777777" w:rsidR="004F04CE" w:rsidRPr="004F04C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ir/arba gamintojas ar jį kontroliuojantis asmuo</w:t>
            </w:r>
          </w:p>
          <w:p w14:paraId="7F0FEAA7"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nėra registruoti (jeigu gamintojas ar jį kontroliuojantis asmuo yra fizinis asmuo, nuolat gyvenantis ar turintis pilietybę) Viešųjų pirkimų įstatymo 92 straipsnio 14 dalyje numatytame sąraše nurodytose valstybėse ar teritorijose:</w:t>
            </w:r>
          </w:p>
          <w:p w14:paraId="20AA04E7"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p>
          <w:p w14:paraId="358ACBB0"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Teikiant paslaugas ar atliekant darbus</w:t>
            </w:r>
          </w:p>
          <w:p w14:paraId="28B4FA80" w14:textId="77777777" w:rsidR="004F04CE" w:rsidRPr="004F04CE" w:rsidRDefault="004F04CE" w:rsidP="004F04CE">
            <w:pPr>
              <w:numPr>
                <w:ilvl w:val="0"/>
                <w:numId w:val="3"/>
              </w:numPr>
              <w:spacing w:before="100" w:beforeAutospacing="1" w:after="100" w:afterAutospacing="1" w:line="240" w:lineRule="auto"/>
              <w:ind w:left="84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asmenys, vykdantys įrangos priežiūrą ar palaikymą, ar juos kontroliuojantys asmenys  nėra arba</w:t>
            </w:r>
          </w:p>
          <w:p w14:paraId="41FAD8FE" w14:textId="77777777" w:rsidR="004F04CE" w:rsidRPr="004F04CE" w:rsidRDefault="004F04CE" w:rsidP="004F04CE">
            <w:pPr>
              <w:numPr>
                <w:ilvl w:val="0"/>
                <w:numId w:val="3"/>
              </w:numPr>
              <w:spacing w:before="100" w:beforeAutospacing="1" w:after="100" w:afterAutospacing="1" w:line="240" w:lineRule="auto"/>
              <w:ind w:left="84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val="en-US" w:eastAsia="lt-LT"/>
              </w:rPr>
              <w:t>techninės ar programinės įrangos priežiūra ar palaikymas nėra/nebus vykdomas</w:t>
            </w:r>
          </w:p>
          <w:p w14:paraId="4F634F9B" w14:textId="77777777" w:rsidR="004F04CE" w:rsidRPr="004F04CE" w:rsidRDefault="004F04CE" w:rsidP="004F04CE">
            <w:pPr>
              <w:spacing w:after="0" w:line="240" w:lineRule="auto"/>
              <w:ind w:left="360"/>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iš Viešųjų pirkimų įstatymo 92 straipsnio 14 dalyje numatytame sąraše nurodytų valstybių ar teritorijų:</w:t>
            </w:r>
          </w:p>
        </w:tc>
      </w:tr>
      <w:tr w:rsidR="004F04CE" w:rsidRPr="004F04CE" w14:paraId="11E1473C"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68FED3A6" w14:textId="7CE2797E" w:rsidR="004F04CE" w:rsidRPr="004F04CE" w:rsidRDefault="004F04CE" w:rsidP="005F2B96">
            <w:pPr>
              <w:tabs>
                <w:tab w:val="num" w:pos="522"/>
              </w:tabs>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1.4.1.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30A6C16"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Rusijos Federacija; </w:t>
            </w:r>
          </w:p>
        </w:tc>
      </w:tr>
      <w:tr w:rsidR="004F04CE" w:rsidRPr="004F04CE" w14:paraId="4FBE54C7"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0A7687F7" w14:textId="175BE0CB" w:rsidR="004F04CE" w:rsidRPr="004F04CE" w:rsidRDefault="004F04CE" w:rsidP="005F2B96">
            <w:pPr>
              <w:tabs>
                <w:tab w:val="num" w:pos="522"/>
              </w:tabs>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1.4.2. 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04AC6EE"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Baltarusijos Respublika;</w:t>
            </w:r>
          </w:p>
        </w:tc>
      </w:tr>
      <w:tr w:rsidR="004F04CE" w:rsidRPr="004F04CE" w14:paraId="6E5D1662"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53C73899" w14:textId="3ACB95B3" w:rsidR="004F04CE" w:rsidRPr="004F04CE" w:rsidRDefault="004F04CE" w:rsidP="005F2B96">
            <w:pPr>
              <w:tabs>
                <w:tab w:val="num" w:pos="522"/>
              </w:tabs>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1.4.3.</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CD339CC"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Kinijos Liaudies Respublikos (išskyrus Taivano provinciją)</w:t>
            </w:r>
          </w:p>
        </w:tc>
      </w:tr>
      <w:tr w:rsidR="004F04CE" w:rsidRPr="004F04CE" w14:paraId="7B006BA0"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04308E30" w14:textId="2F3AD895" w:rsidR="004F04CE" w:rsidRPr="004F04CE" w:rsidRDefault="004F04CE" w:rsidP="005F2B96">
            <w:pPr>
              <w:tabs>
                <w:tab w:val="num" w:pos="522"/>
              </w:tabs>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1.4.4.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5CB8028"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Rusijos Federacijos aneksuotas Krymas;</w:t>
            </w:r>
          </w:p>
        </w:tc>
      </w:tr>
      <w:tr w:rsidR="004F04CE" w:rsidRPr="004F04CE" w14:paraId="1C259171"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5A2DC4F2" w14:textId="7F939CD3" w:rsidR="004F04CE" w:rsidRPr="004F04CE" w:rsidRDefault="004F04CE" w:rsidP="005F2B96">
            <w:pPr>
              <w:tabs>
                <w:tab w:val="num" w:pos="522"/>
              </w:tabs>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1.4.5.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8E96071"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Moldovos Respublikos Vyriausybės nekontroliuojama Padniestrės teritorija;</w:t>
            </w:r>
          </w:p>
        </w:tc>
      </w:tr>
      <w:tr w:rsidR="004F04CE" w:rsidRPr="004F04CE" w14:paraId="2A799897"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hideMark/>
          </w:tcPr>
          <w:p w14:paraId="68494CFA" w14:textId="5CF43C8B" w:rsidR="004F04CE" w:rsidRPr="004F04CE" w:rsidRDefault="004F04CE" w:rsidP="005F2B96">
            <w:pPr>
              <w:tabs>
                <w:tab w:val="num" w:pos="522"/>
              </w:tabs>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1.4.6.</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F1B041C" w14:textId="77777777" w:rsidR="004F04CE" w:rsidRPr="004F04CE" w:rsidRDefault="004F04CE" w:rsidP="004F04CE">
            <w:pPr>
              <w:spacing w:after="0" w:line="240" w:lineRule="auto"/>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Sakartvelo Vyriausybės nekontroliuojamos Abchazijos ir Pietų Ostetijos teritorijos.</w:t>
            </w:r>
          </w:p>
        </w:tc>
      </w:tr>
      <w:tr w:rsidR="00955313" w:rsidRPr="004F04CE" w14:paraId="2CFD9196"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tcPr>
          <w:p w14:paraId="1C8C0E5D" w14:textId="20C37DEF" w:rsidR="00955313" w:rsidRPr="00955313" w:rsidRDefault="00955313" w:rsidP="005F2B96">
            <w:pPr>
              <w:tabs>
                <w:tab w:val="num" w:pos="522"/>
              </w:tabs>
              <w:spacing w:after="0" w:line="240" w:lineRule="auto"/>
              <w:jc w:val="both"/>
              <w:rPr>
                <w:rFonts w:ascii="Segoe UI" w:eastAsia="Times New Roman" w:hAnsi="Segoe UI" w:cs="Segoe UI"/>
                <w:color w:val="242424"/>
                <w:sz w:val="20"/>
                <w:szCs w:val="20"/>
                <w:lang w:val="en-US" w:eastAsia="lt-LT"/>
              </w:rPr>
            </w:pPr>
            <w:r>
              <w:rPr>
                <w:rFonts w:ascii="Segoe UI" w:eastAsia="Times New Roman" w:hAnsi="Segoe UI" w:cs="Segoe UI"/>
                <w:color w:val="242424"/>
                <w:sz w:val="20"/>
                <w:szCs w:val="20"/>
                <w:lang w:val="en-US" w:eastAsia="lt-LT"/>
              </w:rPr>
              <w:t>1.5.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2F84802" w14:textId="2FB89F34" w:rsidR="00955313" w:rsidRPr="00955313" w:rsidRDefault="00BC51EE" w:rsidP="00955313">
            <w:pPr>
              <w:spacing w:after="0" w:line="240" w:lineRule="auto"/>
              <w:rPr>
                <w:rFonts w:ascii="Segoe UI" w:eastAsia="Times New Roman" w:hAnsi="Segoe UI" w:cs="Segoe UI"/>
                <w:color w:val="242424"/>
                <w:sz w:val="20"/>
                <w:szCs w:val="20"/>
                <w:lang w:val="en-US" w:eastAsia="lt-LT"/>
              </w:rPr>
            </w:pPr>
            <w:r>
              <w:rPr>
                <w:rFonts w:ascii="Segoe UI" w:eastAsia="Times New Roman" w:hAnsi="Segoe UI" w:cs="Segoe UI"/>
                <w:color w:val="242424"/>
                <w:sz w:val="20"/>
                <w:szCs w:val="20"/>
                <w:lang w:eastAsia="lt-LT"/>
              </w:rPr>
              <w:t>siūlomų prekių</w:t>
            </w:r>
            <w:r w:rsidR="00E73F2F">
              <w:t xml:space="preserve"> (</w:t>
            </w:r>
            <w:r w:rsidR="00E73F2F" w:rsidRPr="00E73F2F">
              <w:rPr>
                <w:rFonts w:ascii="Segoe UI" w:eastAsia="Times New Roman" w:hAnsi="Segoe UI" w:cs="Segoe UI"/>
                <w:color w:val="242424"/>
                <w:sz w:val="20"/>
                <w:szCs w:val="20"/>
                <w:lang w:eastAsia="lt-LT"/>
              </w:rPr>
              <w:t>įskaitant jų sudedamąsias dalis</w:t>
            </w:r>
            <w:r w:rsidR="00E73F2F">
              <w:rPr>
                <w:rFonts w:ascii="Segoe UI" w:eastAsia="Times New Roman" w:hAnsi="Segoe UI" w:cs="Segoe UI"/>
                <w:color w:val="242424"/>
                <w:sz w:val="20"/>
                <w:szCs w:val="20"/>
                <w:lang w:eastAsia="lt-LT"/>
              </w:rPr>
              <w:t>)</w:t>
            </w:r>
            <w:r>
              <w:rPr>
                <w:rFonts w:ascii="Segoe UI" w:eastAsia="Times New Roman" w:hAnsi="Segoe UI" w:cs="Segoe UI"/>
                <w:color w:val="242424"/>
                <w:sz w:val="20"/>
                <w:szCs w:val="20"/>
                <w:lang w:eastAsia="lt-LT"/>
              </w:rPr>
              <w:t>:</w:t>
            </w:r>
          </w:p>
          <w:p w14:paraId="09EF2E33"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955313">
              <w:rPr>
                <w:rFonts w:ascii="Segoe UI" w:eastAsia="Times New Roman" w:hAnsi="Segoe UI" w:cs="Segoe UI"/>
                <w:color w:val="242424"/>
                <w:sz w:val="20"/>
                <w:szCs w:val="20"/>
                <w:lang w:val="en-US" w:eastAsia="lt-LT"/>
              </w:rPr>
              <w:t>tiekėjas,</w:t>
            </w:r>
          </w:p>
          <w:p w14:paraId="37CC1A38"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955313">
              <w:rPr>
                <w:rFonts w:ascii="Segoe UI" w:eastAsia="Times New Roman" w:hAnsi="Segoe UI" w:cs="Segoe UI"/>
                <w:color w:val="242424"/>
                <w:sz w:val="20"/>
                <w:szCs w:val="20"/>
                <w:lang w:val="en-US" w:eastAsia="lt-LT"/>
              </w:rPr>
              <w:t>subtiekėjas,</w:t>
            </w:r>
          </w:p>
          <w:p w14:paraId="2C16AFF3"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955313">
              <w:rPr>
                <w:rFonts w:ascii="Segoe UI" w:eastAsia="Times New Roman" w:hAnsi="Segoe UI" w:cs="Segoe UI"/>
                <w:color w:val="242424"/>
                <w:sz w:val="20"/>
                <w:szCs w:val="20"/>
                <w:lang w:val="en-US" w:eastAsia="lt-LT"/>
              </w:rPr>
              <w:t>ūkio subjektas, kurio pajėgumais yra remiamasi</w:t>
            </w:r>
          </w:p>
          <w:p w14:paraId="7D68D11E"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955313">
              <w:rPr>
                <w:rFonts w:ascii="Segoe UI" w:eastAsia="Times New Roman" w:hAnsi="Segoe UI" w:cs="Segoe UI"/>
                <w:color w:val="242424"/>
                <w:sz w:val="20"/>
                <w:szCs w:val="20"/>
                <w:lang w:val="en-US" w:eastAsia="lt-LT"/>
              </w:rPr>
              <w:t>ar juos kontroliuojantis asmuo[1]</w:t>
            </w:r>
          </w:p>
          <w:p w14:paraId="392B75EB" w14:textId="77777777" w:rsidR="00955313" w:rsidRPr="00955313"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955313">
              <w:rPr>
                <w:rFonts w:ascii="Segoe UI" w:eastAsia="Times New Roman" w:hAnsi="Segoe UI" w:cs="Segoe UI"/>
                <w:color w:val="242424"/>
                <w:sz w:val="20"/>
                <w:szCs w:val="20"/>
                <w:lang w:val="en-US" w:eastAsia="lt-LT"/>
              </w:rPr>
              <w:t>ir/arba gamintojas ar jį kontroliuojantis asmuo</w:t>
            </w:r>
          </w:p>
          <w:p w14:paraId="53578253" w14:textId="52FA13B0" w:rsidR="00955313" w:rsidRPr="00955313" w:rsidRDefault="00955313" w:rsidP="00955313">
            <w:pPr>
              <w:spacing w:after="0" w:line="240" w:lineRule="auto"/>
              <w:rPr>
                <w:rFonts w:ascii="Segoe UI" w:eastAsia="Times New Roman" w:hAnsi="Segoe UI" w:cs="Segoe UI"/>
                <w:color w:val="242424"/>
                <w:sz w:val="20"/>
                <w:szCs w:val="20"/>
                <w:lang w:eastAsia="lt-LT"/>
              </w:rPr>
            </w:pPr>
            <w:r w:rsidRPr="00955313">
              <w:rPr>
                <w:rFonts w:ascii="Segoe UI" w:eastAsia="Times New Roman" w:hAnsi="Segoe UI" w:cs="Segoe UI"/>
                <w:color w:val="242424"/>
                <w:sz w:val="20"/>
                <w:szCs w:val="20"/>
                <w:lang w:eastAsia="lt-LT"/>
              </w:rPr>
              <w:t>nėra registruoti (jeigu gamintojas ar jį kontroliuojantis asmuo yra fizinis asmuo, nuolat gyvenantis ar turintis pilietybę) Viešųjų pirkimų įstatymo 92 straipsnio 1</w:t>
            </w:r>
            <w:r>
              <w:rPr>
                <w:rFonts w:ascii="Segoe UI" w:eastAsia="Times New Roman" w:hAnsi="Segoe UI" w:cs="Segoe UI"/>
                <w:color w:val="242424"/>
                <w:sz w:val="20"/>
                <w:szCs w:val="20"/>
                <w:lang w:val="en-US" w:eastAsia="lt-LT"/>
              </w:rPr>
              <w:t>5</w:t>
            </w:r>
            <w:r w:rsidRPr="00955313">
              <w:rPr>
                <w:rFonts w:ascii="Segoe UI" w:eastAsia="Times New Roman" w:hAnsi="Segoe UI" w:cs="Segoe UI"/>
                <w:color w:val="242424"/>
                <w:sz w:val="20"/>
                <w:szCs w:val="20"/>
                <w:lang w:eastAsia="lt-LT"/>
              </w:rPr>
              <w:t xml:space="preserve"> dalyje numatytame sąraše nurodytose valstybėse ar teritorijose:</w:t>
            </w:r>
          </w:p>
          <w:p w14:paraId="440FCB78" w14:textId="77777777" w:rsidR="00955313" w:rsidRPr="004F04CE" w:rsidRDefault="00955313" w:rsidP="004F04CE">
            <w:pPr>
              <w:spacing w:after="0" w:line="240" w:lineRule="auto"/>
              <w:rPr>
                <w:rFonts w:ascii="Segoe UI" w:eastAsia="Times New Roman" w:hAnsi="Segoe UI" w:cs="Segoe UI"/>
                <w:color w:val="242424"/>
                <w:sz w:val="20"/>
                <w:szCs w:val="20"/>
                <w:lang w:eastAsia="lt-LT"/>
              </w:rPr>
            </w:pPr>
          </w:p>
        </w:tc>
      </w:tr>
      <w:tr w:rsidR="00E73F2F" w:rsidRPr="004F04CE" w14:paraId="2128A57C"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tcPr>
          <w:p w14:paraId="779CC280" w14:textId="06C300B6" w:rsidR="00E73F2F" w:rsidRDefault="00E73F2F" w:rsidP="005F2B96">
            <w:pPr>
              <w:tabs>
                <w:tab w:val="num" w:pos="522"/>
              </w:tabs>
              <w:spacing w:after="0" w:line="240" w:lineRule="auto"/>
              <w:jc w:val="both"/>
              <w:rPr>
                <w:rFonts w:ascii="Segoe UI" w:eastAsia="Times New Roman" w:hAnsi="Segoe UI" w:cs="Segoe UI"/>
                <w:color w:val="242424"/>
                <w:sz w:val="20"/>
                <w:szCs w:val="20"/>
                <w:lang w:val="en-US" w:eastAsia="lt-LT"/>
              </w:rPr>
            </w:pPr>
            <w:r>
              <w:rPr>
                <w:rFonts w:ascii="Segoe UI" w:eastAsia="Times New Roman" w:hAnsi="Segoe UI" w:cs="Segoe UI"/>
                <w:color w:val="242424"/>
                <w:sz w:val="20"/>
                <w:szCs w:val="20"/>
                <w:lang w:val="en-US" w:eastAsia="lt-LT"/>
              </w:rPr>
              <w:lastRenderedPageBreak/>
              <w:t>1.5.1.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53DEB092" w14:textId="7B062361"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Rusijos Federacija; </w:t>
            </w:r>
          </w:p>
        </w:tc>
      </w:tr>
      <w:tr w:rsidR="00E73F2F" w:rsidRPr="004F04CE" w14:paraId="56AA920A"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tcPr>
          <w:p w14:paraId="3774CB65" w14:textId="01FEF327" w:rsidR="00E73F2F" w:rsidRDefault="00E73F2F" w:rsidP="005F2B96">
            <w:pPr>
              <w:tabs>
                <w:tab w:val="num" w:pos="522"/>
              </w:tabs>
              <w:spacing w:after="0" w:line="240" w:lineRule="auto"/>
              <w:jc w:val="both"/>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t>1.5.</w:t>
            </w:r>
            <w:r>
              <w:rPr>
                <w:rFonts w:ascii="Segoe UI" w:eastAsia="Times New Roman" w:hAnsi="Segoe UI" w:cs="Segoe UI"/>
                <w:color w:val="242424"/>
                <w:sz w:val="20"/>
                <w:szCs w:val="20"/>
                <w:lang w:val="en-US" w:eastAsia="lt-LT"/>
              </w:rPr>
              <w:t>2</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16ABC4D3" w14:textId="3588373A"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Baltarusijos Respublika;</w:t>
            </w:r>
          </w:p>
        </w:tc>
      </w:tr>
      <w:tr w:rsidR="00E73F2F" w:rsidRPr="004F04CE" w14:paraId="56AECB8D"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tcPr>
          <w:p w14:paraId="65E4727C" w14:textId="2CC2D904" w:rsidR="00E73F2F" w:rsidRDefault="00E73F2F" w:rsidP="005F2B96">
            <w:pPr>
              <w:tabs>
                <w:tab w:val="num" w:pos="522"/>
              </w:tabs>
              <w:spacing w:after="0" w:line="240" w:lineRule="auto"/>
              <w:jc w:val="both"/>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t>1.5.</w:t>
            </w:r>
            <w:r>
              <w:rPr>
                <w:rFonts w:ascii="Segoe UI" w:eastAsia="Times New Roman" w:hAnsi="Segoe UI" w:cs="Segoe UI"/>
                <w:color w:val="242424"/>
                <w:sz w:val="20"/>
                <w:szCs w:val="20"/>
                <w:lang w:val="en-US" w:eastAsia="lt-LT"/>
              </w:rPr>
              <w:t>3</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808DA63" w14:textId="0FC17F91"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Rusijos Federacijos aneksuotas Krymas;</w:t>
            </w:r>
          </w:p>
        </w:tc>
      </w:tr>
      <w:tr w:rsidR="00E73F2F" w:rsidRPr="004F04CE" w14:paraId="5476A980"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tcPr>
          <w:p w14:paraId="19418868" w14:textId="4A0C2A9F" w:rsidR="00E73F2F" w:rsidRDefault="00E73F2F" w:rsidP="005F2B96">
            <w:pPr>
              <w:tabs>
                <w:tab w:val="num" w:pos="522"/>
              </w:tabs>
              <w:spacing w:after="0" w:line="240" w:lineRule="auto"/>
              <w:jc w:val="both"/>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t>1.5.</w:t>
            </w:r>
            <w:r>
              <w:rPr>
                <w:rFonts w:ascii="Segoe UI" w:eastAsia="Times New Roman" w:hAnsi="Segoe UI" w:cs="Segoe UI"/>
                <w:color w:val="242424"/>
                <w:sz w:val="20"/>
                <w:szCs w:val="20"/>
                <w:lang w:val="en-US" w:eastAsia="lt-LT"/>
              </w:rPr>
              <w:t>4</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21AAD4A" w14:textId="0D47A323"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Moldovos Respublikos Vyriausybės nekontroliuojama Padniestrės teritorija;</w:t>
            </w:r>
          </w:p>
        </w:tc>
      </w:tr>
      <w:tr w:rsidR="00E73F2F" w:rsidRPr="004F04CE" w14:paraId="38F65DC1" w14:textId="77777777" w:rsidTr="005F2B96">
        <w:tc>
          <w:tcPr>
            <w:tcW w:w="430" w:type="pct"/>
            <w:tcBorders>
              <w:top w:val="single" w:sz="24" w:space="0" w:color="D1D1D1"/>
              <w:left w:val="single" w:sz="24" w:space="0" w:color="D1D1D1"/>
              <w:bottom w:val="single" w:sz="24" w:space="0" w:color="D1D1D1"/>
              <w:right w:val="single" w:sz="24" w:space="0" w:color="D1D1D1"/>
            </w:tcBorders>
            <w:shd w:val="clear" w:color="auto" w:fill="FFFFFF"/>
          </w:tcPr>
          <w:p w14:paraId="32D67552" w14:textId="4FCC0122" w:rsidR="00E73F2F" w:rsidRDefault="00E73F2F" w:rsidP="005F2B96">
            <w:pPr>
              <w:tabs>
                <w:tab w:val="num" w:pos="522"/>
              </w:tabs>
              <w:spacing w:after="0" w:line="240" w:lineRule="auto"/>
              <w:jc w:val="both"/>
              <w:rPr>
                <w:rFonts w:ascii="Segoe UI" w:eastAsia="Times New Roman" w:hAnsi="Segoe UI" w:cs="Segoe UI"/>
                <w:color w:val="242424"/>
                <w:sz w:val="20"/>
                <w:szCs w:val="20"/>
                <w:lang w:val="en-US" w:eastAsia="lt-LT"/>
              </w:rPr>
            </w:pPr>
            <w:r w:rsidRPr="00E73F2F">
              <w:rPr>
                <w:rFonts w:ascii="Segoe UI" w:eastAsia="Times New Roman" w:hAnsi="Segoe UI" w:cs="Segoe UI"/>
                <w:color w:val="242424"/>
                <w:sz w:val="20"/>
                <w:szCs w:val="20"/>
                <w:lang w:val="en-US" w:eastAsia="lt-LT"/>
              </w:rPr>
              <w:t>1.5.</w:t>
            </w:r>
            <w:r>
              <w:rPr>
                <w:rFonts w:ascii="Segoe UI" w:eastAsia="Times New Roman" w:hAnsi="Segoe UI" w:cs="Segoe UI"/>
                <w:color w:val="242424"/>
                <w:sz w:val="20"/>
                <w:szCs w:val="20"/>
                <w:lang w:val="en-US" w:eastAsia="lt-LT"/>
              </w:rPr>
              <w:t>5</w:t>
            </w:r>
            <w:r w:rsidRPr="00E73F2F">
              <w:rPr>
                <w:rFonts w:ascii="Segoe UI" w:eastAsia="Times New Roman" w:hAnsi="Segoe UI" w:cs="Segoe UI"/>
                <w:color w:val="242424"/>
                <w:sz w:val="20"/>
                <w:szCs w:val="20"/>
                <w:lang w:val="en-US" w:eastAsia="lt-LT"/>
              </w:rPr>
              <w:t>.</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685FA97F" w14:textId="104A37CE" w:rsidR="00E73F2F" w:rsidRDefault="00E73F2F" w:rsidP="00E73F2F">
            <w:pPr>
              <w:spacing w:after="0" w:line="240" w:lineRule="auto"/>
              <w:rPr>
                <w:rFonts w:ascii="Segoe UI" w:eastAsia="Times New Roman" w:hAnsi="Segoe UI" w:cs="Segoe UI"/>
                <w:color w:val="242424"/>
                <w:sz w:val="20"/>
                <w:szCs w:val="20"/>
                <w:lang w:eastAsia="lt-LT"/>
              </w:rPr>
            </w:pPr>
            <w:r w:rsidRPr="004F04CE">
              <w:rPr>
                <w:rFonts w:ascii="Segoe UI" w:eastAsia="Times New Roman" w:hAnsi="Segoe UI" w:cs="Segoe UI"/>
                <w:color w:val="242424"/>
                <w:sz w:val="20"/>
                <w:szCs w:val="20"/>
                <w:lang w:eastAsia="lt-LT"/>
              </w:rPr>
              <w:t>Sakartvelo Vyriausybės nekontroliuojamos Abchazijos ir Pietų Ostetijos teritorijos.</w:t>
            </w:r>
          </w:p>
        </w:tc>
      </w:tr>
    </w:tbl>
    <w:p w14:paraId="15DF9A58" w14:textId="77777777" w:rsidR="004F04CE" w:rsidRPr="004F04CE" w:rsidRDefault="004F04CE" w:rsidP="004F04CE">
      <w:pPr>
        <w:shd w:val="clear" w:color="auto" w:fill="FFFFFF"/>
        <w:spacing w:after="0" w:line="240" w:lineRule="auto"/>
        <w:rPr>
          <w:rFonts w:ascii="Segoe UI" w:eastAsia="Times New Roman" w:hAnsi="Segoe UI" w:cs="Segoe UI"/>
          <w:color w:val="242424"/>
          <w:sz w:val="21"/>
          <w:szCs w:val="21"/>
          <w:lang w:eastAsia="lt-LT"/>
        </w:rPr>
      </w:pPr>
    </w:p>
    <w:p w14:paraId="21DB0B26" w14:textId="77777777" w:rsidR="004F04CE" w:rsidRPr="004F04CE" w:rsidRDefault="004F04CE" w:rsidP="0054473F">
      <w:pPr>
        <w:shd w:val="clear" w:color="auto" w:fill="FFFFFF"/>
        <w:spacing w:after="0" w:line="240" w:lineRule="auto"/>
        <w:jc w:val="both"/>
        <w:rPr>
          <w:rFonts w:ascii="Segoe UI" w:eastAsia="Times New Roman" w:hAnsi="Segoe UI" w:cs="Segoe UI"/>
          <w:color w:val="242424"/>
          <w:sz w:val="21"/>
          <w:szCs w:val="21"/>
          <w:lang w:eastAsia="lt-LT"/>
        </w:rPr>
      </w:pPr>
      <w:r w:rsidRPr="004F04CE">
        <w:rPr>
          <w:rFonts w:ascii="Segoe UI" w:eastAsia="Times New Roman" w:hAnsi="Segoe UI" w:cs="Segoe UI"/>
          <w:color w:val="242424"/>
          <w:sz w:val="20"/>
          <w:szCs w:val="20"/>
          <w:lang w:eastAsia="lt-LT"/>
        </w:rPr>
        <w:t>[1]</w:t>
      </w:r>
      <w:r w:rsidRPr="004F04CE">
        <w:rPr>
          <w:rFonts w:ascii="Segoe UI" w:eastAsia="Times New Roman" w:hAnsi="Segoe UI" w:cs="Segoe UI"/>
          <w:color w:val="242424"/>
          <w:sz w:val="18"/>
          <w:szCs w:val="18"/>
          <w:lang w:eastAsia="lt-LT"/>
        </w:rPr>
        <w:t> 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p w14:paraId="1BEF84C4" w14:textId="77777777" w:rsidR="004F04CE" w:rsidRDefault="004F04CE"/>
    <w:sectPr w:rsidR="004F04C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6AC9" w14:textId="77777777" w:rsidR="004F04CE" w:rsidRDefault="004F04CE" w:rsidP="004F04CE">
      <w:pPr>
        <w:spacing w:after="0" w:line="240" w:lineRule="auto"/>
      </w:pPr>
      <w:r>
        <w:separator/>
      </w:r>
    </w:p>
  </w:endnote>
  <w:endnote w:type="continuationSeparator" w:id="0">
    <w:p w14:paraId="3E72F1B7" w14:textId="77777777" w:rsidR="004F04CE" w:rsidRDefault="004F04CE" w:rsidP="004F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D302" w14:textId="77777777" w:rsidR="004F04CE" w:rsidRDefault="004F04CE" w:rsidP="004F04CE">
      <w:pPr>
        <w:spacing w:after="0" w:line="240" w:lineRule="auto"/>
      </w:pPr>
      <w:r>
        <w:separator/>
      </w:r>
    </w:p>
  </w:footnote>
  <w:footnote w:type="continuationSeparator" w:id="0">
    <w:p w14:paraId="797926E3" w14:textId="77777777" w:rsidR="004F04CE" w:rsidRDefault="004F04CE" w:rsidP="004F0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7EE"/>
    <w:multiLevelType w:val="multilevel"/>
    <w:tmpl w:val="057E00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477B6"/>
    <w:multiLevelType w:val="multilevel"/>
    <w:tmpl w:val="90A218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39216E8"/>
    <w:multiLevelType w:val="multilevel"/>
    <w:tmpl w:val="117AF8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9761693">
    <w:abstractNumId w:val="1"/>
  </w:num>
  <w:num w:numId="2" w16cid:durableId="648368102">
    <w:abstractNumId w:val="2"/>
  </w:num>
  <w:num w:numId="3" w16cid:durableId="171403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CE"/>
    <w:rsid w:val="0020706C"/>
    <w:rsid w:val="003B01ED"/>
    <w:rsid w:val="004F04CE"/>
    <w:rsid w:val="005043F9"/>
    <w:rsid w:val="0054473F"/>
    <w:rsid w:val="005F2B96"/>
    <w:rsid w:val="006C07DF"/>
    <w:rsid w:val="007B50C6"/>
    <w:rsid w:val="007E65EE"/>
    <w:rsid w:val="00955313"/>
    <w:rsid w:val="00BC51EE"/>
    <w:rsid w:val="00E7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7565"/>
  <w15:chartTrackingRefBased/>
  <w15:docId w15:val="{9E17B3FE-E13F-4EF3-986D-53EFC498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E65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2013</Words>
  <Characters>1148</Characters>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2022-04-08T10:38:00Z</dcterms:created>
  <dcterms:modified xsi:type="dcterms:W3CDTF">2022-07-19T10:00:00Z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2022-04-08T05:56:58Z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a2c91617-78d5-4921-b73f-dfd9ef53b56c</vt:lpwstr>
  </property>
  <property fmtid="{D5CDD505-2E9C-101B-9397-08002B2CF9AE}" pid="8" name="MSIP_Label_7058e6ed-1f62-4b3b-a413-1541f2aa482f_ContentBits">
    <vt:lpwstr>0</vt:lpwstr>
  </property>
</Properties>
</file>