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7D12A2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r w:rsidR="00AC774C" w:rsidRPr="00AC774C">
        <w:rPr>
          <w:rFonts w:cs="Arial"/>
          <w:sz w:val="20"/>
          <w:szCs w:val="20"/>
        </w:rPr>
        <w:t>personalo administravimo paslaugos</w:t>
      </w:r>
      <w:r w:rsidR="00AC774C">
        <w:rPr>
          <w:rFonts w:cs="Arial"/>
          <w:sz w:val="20"/>
          <w:szCs w:val="20"/>
        </w:rPr>
        <w:t>)</w:t>
      </w:r>
    </w:p>
    <w:p w14:paraId="3F24026F" w14:textId="2ECFEFD3"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F93BF6">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id w:val="1799497722"/>
          <w:placeholder>
            <w:docPart w:val="7EAFF62059EA4A6A88B23D6A49F85E18"/>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6D7831">
            <w:t>Nacionalinė Lietuvos elektros asociacija</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6E18B9A"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Pr>
          <w:rFonts w:cs="Arial"/>
          <w:sz w:val="20"/>
          <w:szCs w:val="20"/>
        </w:rPr>
        <w:t xml:space="preserve">žmogiškųjų išteklių </w:t>
      </w:r>
      <w:r w:rsidRPr="00AD23DC">
        <w:rPr>
          <w:rFonts w:cs="Arial"/>
          <w:sz w:val="20"/>
          <w:szCs w:val="20"/>
        </w:rPr>
        <w:t>administravimo</w:t>
      </w:r>
      <w:r>
        <w:rPr>
          <w:rFonts w:cs="Arial"/>
          <w:sz w:val="20"/>
          <w:szCs w:val="20"/>
        </w:rPr>
        <w:t xml:space="preserve"> paslaugos (</w:t>
      </w:r>
      <w:r w:rsidRPr="00AC774C">
        <w:rPr>
          <w:rFonts w:cs="Arial"/>
          <w:sz w:val="20"/>
          <w:szCs w:val="20"/>
        </w:rPr>
        <w:t>personalo administravimo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633DD798"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6D7831">
        <w:rPr>
          <w:rFonts w:cs="Arial"/>
          <w:bCs/>
          <w:sz w:val="20"/>
          <w:szCs w:val="20"/>
        </w:rPr>
        <w:t>4 000,00</w:t>
      </w:r>
      <w:bookmarkStart w:id="5" w:name="_GoBack"/>
      <w:bookmarkEnd w:id="5"/>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5A6B76A9"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F93BF6">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3DFA6311" w14:textId="0B29F94E" w:rsidR="002B4BC7" w:rsidRDefault="00873767"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AC774C" w:rsidRPr="00AC774C">
        <w:rPr>
          <w:rFonts w:cs="Arial"/>
          <w:b/>
          <w:bCs/>
          <w:sz w:val="20"/>
          <w:szCs w:val="20"/>
        </w:rPr>
        <w:t>personalo administravimo paslaugos</w:t>
      </w:r>
      <w:r w:rsidR="00AC774C">
        <w:rPr>
          <w:rFonts w:cs="Arial"/>
          <w:b/>
          <w:bCs/>
          <w:sz w:val="20"/>
          <w:szCs w:val="20"/>
        </w:rPr>
        <w:t>)</w:t>
      </w:r>
      <w:r w:rsidR="002B4BC7" w:rsidRPr="00762A41">
        <w:rPr>
          <w:rFonts w:cs="Arial"/>
          <w:b/>
          <w:bCs/>
          <w:sz w:val="20"/>
          <w:szCs w:val="20"/>
        </w:rPr>
        <w:t xml:space="preserve"> sąrašas: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119"/>
      </w:tblGrid>
      <w:tr w:rsidR="003866CE" w:rsidRPr="00F93BF6" w14:paraId="44F0F666" w14:textId="77777777" w:rsidTr="00F93BF6">
        <w:trPr>
          <w:trHeight w:val="345"/>
        </w:trPr>
        <w:tc>
          <w:tcPr>
            <w:tcW w:w="1019"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3119"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866CE" w:rsidRPr="00F93BF6" w14:paraId="268874CB" w14:textId="77777777" w:rsidTr="00F93BF6">
        <w:trPr>
          <w:trHeight w:val="345"/>
        </w:trPr>
        <w:tc>
          <w:tcPr>
            <w:tcW w:w="1019" w:type="dxa"/>
            <w:shd w:val="clear" w:color="auto" w:fill="FFFFFF" w:themeFill="background1"/>
            <w:vAlign w:val="center"/>
          </w:tcPr>
          <w:p w14:paraId="6B2985B0" w14:textId="6FE00322" w:rsidR="003866CE" w:rsidRPr="00F93BF6" w:rsidRDefault="007B21EB" w:rsidP="007B21EB">
            <w:pPr>
              <w:ind w:left="142" w:firstLine="0"/>
              <w:rPr>
                <w:rFonts w:cs="Arial"/>
                <w:bCs/>
                <w:sz w:val="20"/>
                <w:szCs w:val="20"/>
              </w:rPr>
            </w:pPr>
            <w:r w:rsidRPr="00F93BF6">
              <w:rPr>
                <w:rFonts w:cs="Arial"/>
                <w:bCs/>
                <w:sz w:val="20"/>
                <w:szCs w:val="20"/>
              </w:rPr>
              <w:t xml:space="preserve">   </w:t>
            </w:r>
            <w:r w:rsidR="003866CE" w:rsidRPr="00F93BF6">
              <w:rPr>
                <w:rFonts w:cs="Arial"/>
                <w:bCs/>
                <w:sz w:val="20"/>
                <w:szCs w:val="20"/>
              </w:rPr>
              <w:t>1.</w:t>
            </w:r>
          </w:p>
        </w:tc>
        <w:tc>
          <w:tcPr>
            <w:tcW w:w="5360" w:type="dxa"/>
            <w:shd w:val="clear" w:color="auto" w:fill="FFFFFF" w:themeFill="background1"/>
            <w:vAlign w:val="center"/>
          </w:tcPr>
          <w:p w14:paraId="32FA9A96" w14:textId="77777777" w:rsidR="003866CE" w:rsidRPr="00F93BF6" w:rsidRDefault="003866CE" w:rsidP="003866CE">
            <w:pPr>
              <w:ind w:left="142" w:firstLine="0"/>
              <w:rPr>
                <w:rFonts w:cs="Arial"/>
                <w:bCs/>
                <w:sz w:val="20"/>
                <w:szCs w:val="20"/>
              </w:rPr>
            </w:pPr>
            <w:r w:rsidRPr="00F93BF6">
              <w:rPr>
                <w:rFonts w:cs="Arial"/>
                <w:bCs/>
                <w:sz w:val="20"/>
                <w:szCs w:val="20"/>
              </w:rPr>
              <w:t>Darbo santykių administravimo (DSA) paslauga</w:t>
            </w:r>
          </w:p>
        </w:tc>
        <w:tc>
          <w:tcPr>
            <w:tcW w:w="3119" w:type="dxa"/>
            <w:shd w:val="clear" w:color="auto" w:fill="FFFFFF" w:themeFill="background1"/>
            <w:vAlign w:val="center"/>
          </w:tcPr>
          <w:p w14:paraId="53094AD3" w14:textId="246BB8BC" w:rsidR="003866CE" w:rsidRPr="00F93BF6" w:rsidRDefault="003866CE" w:rsidP="00F93BF6">
            <w:pPr>
              <w:ind w:firstLine="0"/>
              <w:jc w:val="center"/>
              <w:rPr>
                <w:rFonts w:cs="Arial"/>
                <w:bCs/>
                <w:sz w:val="20"/>
                <w:szCs w:val="20"/>
              </w:rPr>
            </w:pPr>
            <w:r w:rsidRPr="00F93BF6">
              <w:rPr>
                <w:rFonts w:cs="Arial"/>
                <w:bCs/>
                <w:sz w:val="20"/>
                <w:szCs w:val="20"/>
              </w:rPr>
              <w:t>Valanda</w:t>
            </w:r>
          </w:p>
        </w:tc>
      </w:tr>
      <w:tr w:rsidR="003866CE" w:rsidRPr="00F93BF6" w14:paraId="67562C28" w14:textId="77777777" w:rsidTr="00F93BF6">
        <w:trPr>
          <w:trHeight w:val="345"/>
        </w:trPr>
        <w:tc>
          <w:tcPr>
            <w:tcW w:w="1019" w:type="dxa"/>
            <w:shd w:val="clear" w:color="auto" w:fill="FFFFFF" w:themeFill="background1"/>
            <w:vAlign w:val="center"/>
          </w:tcPr>
          <w:p w14:paraId="5BF5580D"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2.</w:t>
            </w:r>
          </w:p>
        </w:tc>
        <w:tc>
          <w:tcPr>
            <w:tcW w:w="5360" w:type="dxa"/>
            <w:shd w:val="clear" w:color="auto" w:fill="FFFFFF" w:themeFill="background1"/>
            <w:vAlign w:val="center"/>
          </w:tcPr>
          <w:p w14:paraId="6E3FCF6C" w14:textId="77777777" w:rsidR="003866CE" w:rsidRPr="00F93BF6" w:rsidRDefault="003866CE" w:rsidP="003866CE">
            <w:pPr>
              <w:ind w:left="142" w:firstLine="0"/>
              <w:rPr>
                <w:rFonts w:cs="Arial"/>
                <w:bCs/>
                <w:sz w:val="20"/>
                <w:szCs w:val="20"/>
              </w:rPr>
            </w:pPr>
            <w:r w:rsidRPr="00F93BF6">
              <w:rPr>
                <w:rFonts w:cs="Arial"/>
                <w:bCs/>
                <w:sz w:val="20"/>
                <w:szCs w:val="20"/>
              </w:rPr>
              <w:t>Darbo užmokesčio apskaitos (DUA) paslauga</w:t>
            </w:r>
          </w:p>
        </w:tc>
        <w:tc>
          <w:tcPr>
            <w:tcW w:w="3119" w:type="dxa"/>
            <w:shd w:val="clear" w:color="auto" w:fill="FFFFFF" w:themeFill="background1"/>
            <w:vAlign w:val="center"/>
          </w:tcPr>
          <w:p w14:paraId="2105673C"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5BF6C7F1" w14:textId="77777777" w:rsidTr="00F93BF6">
        <w:trPr>
          <w:trHeight w:val="345"/>
        </w:trPr>
        <w:tc>
          <w:tcPr>
            <w:tcW w:w="1019" w:type="dxa"/>
            <w:shd w:val="clear" w:color="auto" w:fill="FFFFFF" w:themeFill="background1"/>
            <w:vAlign w:val="center"/>
          </w:tcPr>
          <w:p w14:paraId="6FE8DFAF"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3.</w:t>
            </w:r>
          </w:p>
        </w:tc>
        <w:tc>
          <w:tcPr>
            <w:tcW w:w="5360" w:type="dxa"/>
            <w:shd w:val="clear" w:color="auto" w:fill="FFFFFF" w:themeFill="background1"/>
            <w:vAlign w:val="center"/>
          </w:tcPr>
          <w:p w14:paraId="53DA1EA8" w14:textId="77777777" w:rsidR="003866CE" w:rsidRPr="00F93BF6" w:rsidRDefault="003866CE" w:rsidP="003866CE">
            <w:pPr>
              <w:ind w:left="142" w:firstLine="0"/>
              <w:rPr>
                <w:rFonts w:cs="Arial"/>
                <w:bCs/>
                <w:sz w:val="20"/>
                <w:szCs w:val="20"/>
              </w:rPr>
            </w:pPr>
            <w:r w:rsidRPr="00F93BF6">
              <w:rPr>
                <w:rFonts w:cs="Arial"/>
                <w:bCs/>
                <w:sz w:val="20"/>
                <w:szCs w:val="20"/>
              </w:rPr>
              <w:t>Personalo verslo partnerio paslauga</w:t>
            </w:r>
          </w:p>
        </w:tc>
        <w:tc>
          <w:tcPr>
            <w:tcW w:w="3119" w:type="dxa"/>
            <w:shd w:val="clear" w:color="auto" w:fill="FFFFFF" w:themeFill="background1"/>
            <w:vAlign w:val="center"/>
          </w:tcPr>
          <w:p w14:paraId="71D6E407"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7982BDE4" w14:textId="77777777" w:rsidTr="00F93BF6">
        <w:trPr>
          <w:trHeight w:val="330"/>
        </w:trPr>
        <w:tc>
          <w:tcPr>
            <w:tcW w:w="1019" w:type="dxa"/>
            <w:vAlign w:val="center"/>
          </w:tcPr>
          <w:p w14:paraId="68EBEC81" w14:textId="19D91CBE" w:rsidR="003866CE" w:rsidRPr="00F93BF6" w:rsidRDefault="00AC774C" w:rsidP="003866CE">
            <w:pPr>
              <w:ind w:firstLine="0"/>
              <w:jc w:val="center"/>
              <w:rPr>
                <w:rFonts w:cs="Arial"/>
                <w:bCs/>
                <w:sz w:val="20"/>
                <w:szCs w:val="20"/>
              </w:rPr>
            </w:pPr>
            <w:r w:rsidRPr="00F93BF6">
              <w:rPr>
                <w:rFonts w:cs="Arial"/>
                <w:bCs/>
                <w:sz w:val="20"/>
                <w:szCs w:val="20"/>
              </w:rPr>
              <w:t>4</w:t>
            </w:r>
            <w:r w:rsidR="003866CE" w:rsidRPr="00F93BF6">
              <w:rPr>
                <w:rFonts w:cs="Arial"/>
                <w:bCs/>
                <w:sz w:val="20"/>
                <w:szCs w:val="20"/>
              </w:rPr>
              <w:t>.</w:t>
            </w:r>
          </w:p>
        </w:tc>
        <w:tc>
          <w:tcPr>
            <w:tcW w:w="5360" w:type="dxa"/>
            <w:shd w:val="clear" w:color="auto" w:fill="auto"/>
            <w:vAlign w:val="center"/>
          </w:tcPr>
          <w:p w14:paraId="3DDD114A" w14:textId="09E9BD10" w:rsidR="003866CE" w:rsidRPr="00F93BF6" w:rsidRDefault="00BD743B" w:rsidP="003866CE">
            <w:pPr>
              <w:ind w:left="142" w:firstLine="0"/>
              <w:rPr>
                <w:rFonts w:cs="Arial"/>
                <w:sz w:val="20"/>
                <w:szCs w:val="20"/>
              </w:rPr>
            </w:pPr>
            <w:r w:rsidRPr="00F93BF6">
              <w:rPr>
                <w:rFonts w:cs="Arial"/>
                <w:sz w:val="20"/>
                <w:szCs w:val="20"/>
              </w:rPr>
              <w:t>Žmonių duomenų ataskaitų vystymo ir priežiūros paslauga</w:t>
            </w:r>
          </w:p>
        </w:tc>
        <w:tc>
          <w:tcPr>
            <w:tcW w:w="3119" w:type="dxa"/>
            <w:shd w:val="clear" w:color="auto" w:fill="auto"/>
            <w:vAlign w:val="center"/>
          </w:tcPr>
          <w:p w14:paraId="64ED2A75" w14:textId="77777777" w:rsidR="003866CE" w:rsidRPr="00F93BF6" w:rsidRDefault="003866CE" w:rsidP="00F93BF6">
            <w:pPr>
              <w:ind w:firstLine="0"/>
              <w:jc w:val="center"/>
              <w:rPr>
                <w:rFonts w:cs="Arial"/>
                <w:sz w:val="20"/>
                <w:szCs w:val="20"/>
              </w:rPr>
            </w:pPr>
            <w:r w:rsidRPr="00F93BF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9F7A954"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5F5720">
        <w:rPr>
          <w:rFonts w:cs="Arial"/>
          <w:sz w:val="20"/>
          <w:szCs w:val="20"/>
        </w:rPr>
        <w:t>a</w:t>
      </w:r>
      <w:r w:rsidR="005F5720" w:rsidRPr="00AC774C">
        <w:rPr>
          <w:rFonts w:cs="Arial"/>
          <w:sz w:val="20"/>
          <w:szCs w:val="20"/>
        </w:rPr>
        <w:t>s</w:t>
      </w:r>
      <w:r w:rsidR="005F5720">
        <w:rPr>
          <w:rFonts w:cs="Arial"/>
          <w:sz w:val="20"/>
          <w:szCs w:val="20"/>
        </w:rPr>
        <w:t>)</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CF44CF0"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paslaugos</w:t>
      </w:r>
      <w:r w:rsidR="005F5720">
        <w:rPr>
          <w:rFonts w:cs="Arial"/>
          <w:sz w:val="20"/>
          <w:szCs w:val="20"/>
        </w:rPr>
        <w:t>)</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90702B">
        <w:rPr>
          <w:rFonts w:cs="Arial"/>
          <w:b/>
          <w:sz w:val="20"/>
          <w:szCs w:val="20"/>
        </w:rPr>
        <w:t>Pirkimo objekto aprašymas</w:t>
      </w:r>
      <w:bookmarkEnd w:id="6"/>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7"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3E27F61" w:rsidR="003E1F23" w:rsidRDefault="00E5454E" w:rsidP="003E1F23">
      <w:pPr>
        <w:tabs>
          <w:tab w:val="left" w:pos="284"/>
          <w:tab w:val="left" w:pos="567"/>
        </w:tabs>
        <w:spacing w:before="60" w:after="60"/>
        <w:ind w:firstLine="0"/>
        <w:jc w:val="both"/>
        <w:rPr>
          <w:rFonts w:cs="Arial"/>
          <w:sz w:val="20"/>
          <w:szCs w:val="20"/>
        </w:rPr>
      </w:pPr>
      <w:r>
        <w:rPr>
          <w:rFonts w:cs="Arial"/>
          <w:bCs/>
          <w:sz w:val="20"/>
          <w:szCs w:val="20"/>
        </w:rPr>
        <w:t xml:space="preserve">Žmogiškųjų išteklių </w:t>
      </w:r>
      <w:r w:rsidR="003E1F23" w:rsidRPr="0090702B">
        <w:rPr>
          <w:rFonts w:cs="Arial"/>
          <w:bCs/>
          <w:sz w:val="20"/>
          <w:szCs w:val="20"/>
        </w:rPr>
        <w:t>administravimo</w:t>
      </w:r>
      <w:r w:rsidR="003E1F23" w:rsidRPr="0090702B">
        <w:rPr>
          <w:rFonts w:cs="Arial"/>
          <w:sz w:val="20"/>
          <w:szCs w:val="20"/>
        </w:rPr>
        <w:t xml:space="preserve"> paslaugas</w:t>
      </w:r>
      <w:r w:rsidR="00AC774C">
        <w:rPr>
          <w:rFonts w:cs="Arial"/>
          <w:sz w:val="20"/>
          <w:szCs w:val="20"/>
        </w:rPr>
        <w:t xml:space="preserve"> (</w:t>
      </w:r>
      <w:r w:rsidR="00AC774C" w:rsidRPr="00AC774C">
        <w:rPr>
          <w:rFonts w:cs="Arial"/>
          <w:sz w:val="20"/>
          <w:szCs w:val="20"/>
        </w:rPr>
        <w:t>personalo administravimo paslaug</w:t>
      </w:r>
      <w:r w:rsidR="00AC774C">
        <w:rPr>
          <w:rFonts w:cs="Arial"/>
          <w:sz w:val="20"/>
          <w:szCs w:val="20"/>
        </w:rPr>
        <w:t>os)</w:t>
      </w:r>
      <w:r w:rsidR="003E1F23" w:rsidRPr="0090702B">
        <w:rPr>
          <w:rFonts w:cs="Arial"/>
          <w:sz w:val="20"/>
          <w:szCs w:val="20"/>
        </w:rPr>
        <w:t xml:space="preserve"> 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AC774C">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lastRenderedPageBreak/>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AC774C">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4AF8B"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1.</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F2AEF"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AC774C">
        <w:trPr>
          <w:trHeight w:val="300"/>
        </w:trPr>
        <w:tc>
          <w:tcPr>
            <w:tcW w:w="851" w:type="dxa"/>
            <w:vMerge/>
            <w:tcBorders>
              <w:left w:val="single" w:sz="4" w:space="0" w:color="auto"/>
              <w:right w:val="single" w:sz="4" w:space="0" w:color="auto"/>
            </w:tcBorders>
            <w:vAlign w:val="center"/>
            <w:hideMark/>
          </w:tcPr>
          <w:p w14:paraId="199505A8"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0506B49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AC774C">
        <w:trPr>
          <w:trHeight w:val="300"/>
        </w:trPr>
        <w:tc>
          <w:tcPr>
            <w:tcW w:w="851" w:type="dxa"/>
            <w:vMerge/>
            <w:tcBorders>
              <w:left w:val="single" w:sz="4" w:space="0" w:color="auto"/>
              <w:right w:val="single" w:sz="4" w:space="0" w:color="auto"/>
            </w:tcBorders>
            <w:vAlign w:val="center"/>
            <w:hideMark/>
          </w:tcPr>
          <w:p w14:paraId="175B1B9B"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D3EC5B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AC774C">
        <w:trPr>
          <w:trHeight w:val="300"/>
        </w:trPr>
        <w:tc>
          <w:tcPr>
            <w:tcW w:w="851" w:type="dxa"/>
            <w:vMerge/>
            <w:tcBorders>
              <w:left w:val="single" w:sz="4" w:space="0" w:color="auto"/>
              <w:right w:val="single" w:sz="4" w:space="0" w:color="auto"/>
            </w:tcBorders>
            <w:vAlign w:val="center"/>
            <w:hideMark/>
          </w:tcPr>
          <w:p w14:paraId="7A083BA7"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8E56AB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AC774C">
        <w:trPr>
          <w:trHeight w:val="300"/>
        </w:trPr>
        <w:tc>
          <w:tcPr>
            <w:tcW w:w="851" w:type="dxa"/>
            <w:vMerge/>
            <w:tcBorders>
              <w:left w:val="single" w:sz="4" w:space="0" w:color="auto"/>
              <w:right w:val="single" w:sz="4" w:space="0" w:color="auto"/>
            </w:tcBorders>
            <w:vAlign w:val="center"/>
            <w:hideMark/>
          </w:tcPr>
          <w:p w14:paraId="72ADE686"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4718942"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AC774C">
        <w:trPr>
          <w:trHeight w:val="300"/>
        </w:trPr>
        <w:tc>
          <w:tcPr>
            <w:tcW w:w="851" w:type="dxa"/>
            <w:vMerge/>
            <w:tcBorders>
              <w:left w:val="single" w:sz="4" w:space="0" w:color="auto"/>
              <w:right w:val="single" w:sz="4" w:space="0" w:color="auto"/>
            </w:tcBorders>
            <w:vAlign w:val="center"/>
            <w:hideMark/>
          </w:tcPr>
          <w:p w14:paraId="623F3E8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F4FCF3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AC774C">
        <w:trPr>
          <w:trHeight w:val="300"/>
        </w:trPr>
        <w:tc>
          <w:tcPr>
            <w:tcW w:w="851" w:type="dxa"/>
            <w:vMerge/>
            <w:tcBorders>
              <w:left w:val="single" w:sz="4" w:space="0" w:color="auto"/>
              <w:right w:val="single" w:sz="4" w:space="0" w:color="auto"/>
            </w:tcBorders>
            <w:vAlign w:val="center"/>
            <w:hideMark/>
          </w:tcPr>
          <w:p w14:paraId="6FAA0465"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877929F"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AC774C">
        <w:trPr>
          <w:trHeight w:val="300"/>
        </w:trPr>
        <w:tc>
          <w:tcPr>
            <w:tcW w:w="851" w:type="dxa"/>
            <w:vMerge/>
            <w:tcBorders>
              <w:left w:val="single" w:sz="4" w:space="0" w:color="auto"/>
              <w:right w:val="single" w:sz="4" w:space="0" w:color="auto"/>
            </w:tcBorders>
            <w:vAlign w:val="center"/>
            <w:hideMark/>
          </w:tcPr>
          <w:p w14:paraId="09B40E4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B954F0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AC774C">
        <w:trPr>
          <w:trHeight w:val="300"/>
        </w:trPr>
        <w:tc>
          <w:tcPr>
            <w:tcW w:w="851" w:type="dxa"/>
            <w:vMerge/>
            <w:tcBorders>
              <w:left w:val="single" w:sz="4" w:space="0" w:color="auto"/>
              <w:right w:val="single" w:sz="4" w:space="0" w:color="auto"/>
            </w:tcBorders>
            <w:vAlign w:val="center"/>
            <w:hideMark/>
          </w:tcPr>
          <w:p w14:paraId="327C38E2"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29F11D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AC774C">
        <w:trPr>
          <w:trHeight w:val="300"/>
        </w:trPr>
        <w:tc>
          <w:tcPr>
            <w:tcW w:w="851" w:type="dxa"/>
            <w:vMerge/>
            <w:tcBorders>
              <w:left w:val="single" w:sz="4" w:space="0" w:color="auto"/>
              <w:right w:val="single" w:sz="4" w:space="0" w:color="auto"/>
            </w:tcBorders>
            <w:vAlign w:val="center"/>
            <w:hideMark/>
          </w:tcPr>
          <w:p w14:paraId="49D3A86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7EF51A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AC774C">
        <w:trPr>
          <w:trHeight w:val="300"/>
        </w:trPr>
        <w:tc>
          <w:tcPr>
            <w:tcW w:w="851" w:type="dxa"/>
            <w:vMerge/>
            <w:tcBorders>
              <w:left w:val="single" w:sz="4" w:space="0" w:color="auto"/>
              <w:right w:val="single" w:sz="4" w:space="0" w:color="auto"/>
            </w:tcBorders>
            <w:vAlign w:val="center"/>
            <w:hideMark/>
          </w:tcPr>
          <w:p w14:paraId="6CEFBE4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46293F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4D22D3D"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DVV administravimas</w:t>
            </w:r>
          </w:p>
        </w:tc>
      </w:tr>
      <w:tr w:rsidR="00BD743B" w:rsidRPr="00324154" w14:paraId="275B54F6" w14:textId="77777777" w:rsidTr="00AC774C">
        <w:trPr>
          <w:trHeight w:val="300"/>
        </w:trPr>
        <w:tc>
          <w:tcPr>
            <w:tcW w:w="851" w:type="dxa"/>
            <w:vMerge/>
            <w:tcBorders>
              <w:left w:val="single" w:sz="4" w:space="0" w:color="auto"/>
              <w:right w:val="single" w:sz="4" w:space="0" w:color="auto"/>
            </w:tcBorders>
            <w:vAlign w:val="center"/>
            <w:hideMark/>
          </w:tcPr>
          <w:p w14:paraId="4ADD251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0E5AE8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75D71AA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5827AA0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AC774C">
        <w:trPr>
          <w:trHeight w:val="300"/>
        </w:trPr>
        <w:tc>
          <w:tcPr>
            <w:tcW w:w="851"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2A50D9D3" w14:textId="77777777" w:rsidR="00BD743B" w:rsidRPr="007115E6" w:rsidRDefault="00BD743B" w:rsidP="00697D9A">
            <w:pPr>
              <w:jc w:val="center"/>
              <w:rPr>
                <w:rFonts w:eastAsia="Times New Roman" w:cs="Arial"/>
                <w:sz w:val="20"/>
                <w:szCs w:val="20"/>
                <w:lang w:eastAsia="lt-LT"/>
              </w:rPr>
            </w:pPr>
            <w:r w:rsidRPr="007115E6">
              <w:rPr>
                <w:rFonts w:eastAsia="Times New Roman" w:cs="Arial"/>
                <w:sz w:val="20"/>
                <w:szCs w:val="20"/>
                <w:lang w:eastAsia="lt-LT"/>
              </w:rPr>
              <w:t>2.</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143BF"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237"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AC774C">
        <w:trPr>
          <w:trHeight w:val="300"/>
        </w:trPr>
        <w:tc>
          <w:tcPr>
            <w:tcW w:w="851" w:type="dxa"/>
            <w:vMerge/>
            <w:tcBorders>
              <w:left w:val="single" w:sz="4" w:space="0" w:color="auto"/>
              <w:right w:val="single" w:sz="4" w:space="0" w:color="auto"/>
            </w:tcBorders>
            <w:vAlign w:val="center"/>
            <w:hideMark/>
          </w:tcPr>
          <w:p w14:paraId="5A9774B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7F64E698"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AC774C">
        <w:trPr>
          <w:trHeight w:val="300"/>
        </w:trPr>
        <w:tc>
          <w:tcPr>
            <w:tcW w:w="851" w:type="dxa"/>
            <w:vMerge/>
            <w:tcBorders>
              <w:left w:val="single" w:sz="4" w:space="0" w:color="auto"/>
              <w:right w:val="single" w:sz="4" w:space="0" w:color="auto"/>
            </w:tcBorders>
            <w:vAlign w:val="center"/>
            <w:hideMark/>
          </w:tcPr>
          <w:p w14:paraId="61BF9ABD"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EA01EF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AC774C">
        <w:trPr>
          <w:trHeight w:val="300"/>
        </w:trPr>
        <w:tc>
          <w:tcPr>
            <w:tcW w:w="851" w:type="dxa"/>
            <w:vMerge/>
            <w:tcBorders>
              <w:left w:val="single" w:sz="4" w:space="0" w:color="auto"/>
              <w:right w:val="single" w:sz="4" w:space="0" w:color="auto"/>
            </w:tcBorders>
            <w:vAlign w:val="center"/>
            <w:hideMark/>
          </w:tcPr>
          <w:p w14:paraId="6E6BB550"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517C16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AC774C">
        <w:trPr>
          <w:trHeight w:val="300"/>
        </w:trPr>
        <w:tc>
          <w:tcPr>
            <w:tcW w:w="851" w:type="dxa"/>
            <w:vMerge/>
            <w:tcBorders>
              <w:left w:val="single" w:sz="4" w:space="0" w:color="auto"/>
              <w:right w:val="single" w:sz="4" w:space="0" w:color="auto"/>
            </w:tcBorders>
            <w:vAlign w:val="center"/>
            <w:hideMark/>
          </w:tcPr>
          <w:p w14:paraId="6720A555"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73A5F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AC774C">
        <w:trPr>
          <w:trHeight w:val="300"/>
        </w:trPr>
        <w:tc>
          <w:tcPr>
            <w:tcW w:w="851" w:type="dxa"/>
            <w:vMerge/>
            <w:tcBorders>
              <w:left w:val="single" w:sz="4" w:space="0" w:color="auto"/>
              <w:right w:val="single" w:sz="4" w:space="0" w:color="auto"/>
            </w:tcBorders>
            <w:vAlign w:val="center"/>
            <w:hideMark/>
          </w:tcPr>
          <w:p w14:paraId="5D8D34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17E4D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AC774C">
        <w:trPr>
          <w:trHeight w:val="300"/>
        </w:trPr>
        <w:tc>
          <w:tcPr>
            <w:tcW w:w="851" w:type="dxa"/>
            <w:vMerge/>
            <w:tcBorders>
              <w:left w:val="single" w:sz="4" w:space="0" w:color="auto"/>
              <w:right w:val="single" w:sz="4" w:space="0" w:color="auto"/>
            </w:tcBorders>
            <w:vAlign w:val="center"/>
            <w:hideMark/>
          </w:tcPr>
          <w:p w14:paraId="0BA9D3CE"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2F486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AC774C">
        <w:trPr>
          <w:trHeight w:val="300"/>
        </w:trPr>
        <w:tc>
          <w:tcPr>
            <w:tcW w:w="851" w:type="dxa"/>
            <w:vMerge/>
            <w:tcBorders>
              <w:left w:val="single" w:sz="4" w:space="0" w:color="auto"/>
              <w:right w:val="single" w:sz="4" w:space="0" w:color="auto"/>
            </w:tcBorders>
            <w:vAlign w:val="center"/>
            <w:hideMark/>
          </w:tcPr>
          <w:p w14:paraId="10BAD2EC"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3A624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AC774C">
        <w:trPr>
          <w:trHeight w:val="300"/>
        </w:trPr>
        <w:tc>
          <w:tcPr>
            <w:tcW w:w="851" w:type="dxa"/>
            <w:vMerge/>
            <w:tcBorders>
              <w:left w:val="single" w:sz="4" w:space="0" w:color="auto"/>
              <w:right w:val="single" w:sz="4" w:space="0" w:color="auto"/>
            </w:tcBorders>
            <w:vAlign w:val="center"/>
            <w:hideMark/>
          </w:tcPr>
          <w:p w14:paraId="6C1AA6B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57A949E"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AC774C">
        <w:trPr>
          <w:trHeight w:val="300"/>
        </w:trPr>
        <w:tc>
          <w:tcPr>
            <w:tcW w:w="851" w:type="dxa"/>
            <w:vMerge/>
            <w:tcBorders>
              <w:left w:val="single" w:sz="4" w:space="0" w:color="auto"/>
              <w:right w:val="single" w:sz="4" w:space="0" w:color="auto"/>
            </w:tcBorders>
            <w:vAlign w:val="center"/>
            <w:hideMark/>
          </w:tcPr>
          <w:p w14:paraId="587FDBE7"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C24116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AC774C">
        <w:trPr>
          <w:trHeight w:val="300"/>
        </w:trPr>
        <w:tc>
          <w:tcPr>
            <w:tcW w:w="851" w:type="dxa"/>
            <w:vMerge/>
            <w:tcBorders>
              <w:left w:val="single" w:sz="4" w:space="0" w:color="auto"/>
              <w:right w:val="single" w:sz="4" w:space="0" w:color="auto"/>
            </w:tcBorders>
            <w:vAlign w:val="center"/>
            <w:hideMark/>
          </w:tcPr>
          <w:p w14:paraId="26636A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4EED577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AC774C">
        <w:trPr>
          <w:trHeight w:val="300"/>
        </w:trPr>
        <w:tc>
          <w:tcPr>
            <w:tcW w:w="851" w:type="dxa"/>
            <w:vMerge/>
            <w:tcBorders>
              <w:left w:val="single" w:sz="4" w:space="0" w:color="auto"/>
              <w:right w:val="single" w:sz="4" w:space="0" w:color="auto"/>
            </w:tcBorders>
            <w:vAlign w:val="center"/>
            <w:hideMark/>
          </w:tcPr>
          <w:p w14:paraId="7CAC846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16042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AC774C">
        <w:trPr>
          <w:trHeight w:val="300"/>
        </w:trPr>
        <w:tc>
          <w:tcPr>
            <w:tcW w:w="851" w:type="dxa"/>
            <w:vMerge/>
            <w:tcBorders>
              <w:left w:val="single" w:sz="4" w:space="0" w:color="auto"/>
              <w:right w:val="single" w:sz="4" w:space="0" w:color="auto"/>
            </w:tcBorders>
            <w:vAlign w:val="center"/>
            <w:hideMark/>
          </w:tcPr>
          <w:p w14:paraId="1312E829"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76115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AC774C">
        <w:trPr>
          <w:trHeight w:val="300"/>
        </w:trPr>
        <w:tc>
          <w:tcPr>
            <w:tcW w:w="851" w:type="dxa"/>
            <w:vMerge/>
            <w:tcBorders>
              <w:left w:val="single" w:sz="4" w:space="0" w:color="auto"/>
              <w:right w:val="single" w:sz="4" w:space="0" w:color="auto"/>
            </w:tcBorders>
            <w:vAlign w:val="center"/>
            <w:hideMark/>
          </w:tcPr>
          <w:p w14:paraId="3A5598A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0CE7F03"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AC774C">
        <w:trPr>
          <w:trHeight w:val="300"/>
        </w:trPr>
        <w:tc>
          <w:tcPr>
            <w:tcW w:w="851" w:type="dxa"/>
            <w:vMerge/>
            <w:tcBorders>
              <w:left w:val="single" w:sz="4" w:space="0" w:color="auto"/>
              <w:right w:val="single" w:sz="4" w:space="0" w:color="auto"/>
            </w:tcBorders>
            <w:vAlign w:val="center"/>
            <w:hideMark/>
          </w:tcPr>
          <w:p w14:paraId="484BE70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2EABB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AC774C">
        <w:trPr>
          <w:trHeight w:val="300"/>
        </w:trPr>
        <w:tc>
          <w:tcPr>
            <w:tcW w:w="851" w:type="dxa"/>
            <w:vMerge/>
            <w:tcBorders>
              <w:left w:val="single" w:sz="4" w:space="0" w:color="auto"/>
              <w:right w:val="single" w:sz="4" w:space="0" w:color="auto"/>
            </w:tcBorders>
            <w:vAlign w:val="center"/>
            <w:hideMark/>
          </w:tcPr>
          <w:p w14:paraId="6AF757E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DF48C11"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AC774C">
        <w:trPr>
          <w:trHeight w:val="300"/>
        </w:trPr>
        <w:tc>
          <w:tcPr>
            <w:tcW w:w="851" w:type="dxa"/>
            <w:vMerge/>
            <w:tcBorders>
              <w:left w:val="single" w:sz="4" w:space="0" w:color="auto"/>
              <w:right w:val="single" w:sz="4" w:space="0" w:color="auto"/>
            </w:tcBorders>
            <w:vAlign w:val="center"/>
            <w:hideMark/>
          </w:tcPr>
          <w:p w14:paraId="30AB357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32E57E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EE9AE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KAD skaičiavimas</w:t>
            </w:r>
          </w:p>
        </w:tc>
      </w:tr>
      <w:tr w:rsidR="00BD743B" w:rsidRPr="00324154" w14:paraId="6630A060"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0E0BB02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7170E4F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57B96BFD" w14:textId="77777777" w:rsidTr="00AC774C">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565ED" w14:textId="77777777" w:rsidR="00BD743B" w:rsidRPr="00324154" w:rsidRDefault="00BD743B" w:rsidP="00697D9A">
            <w:pPr>
              <w:jc w:val="center"/>
              <w:rPr>
                <w:rFonts w:eastAsia="Times New Roman" w:cs="Arial"/>
                <w:sz w:val="20"/>
                <w:szCs w:val="20"/>
                <w:lang w:eastAsia="lt-LT"/>
              </w:rPr>
            </w:pPr>
            <w:r w:rsidRPr="00324154">
              <w:rPr>
                <w:rFonts w:eastAsia="Times New Roman" w:cs="Arial"/>
                <w:sz w:val="20"/>
                <w:szCs w:val="20"/>
                <w:lang w:eastAsia="lt-LT"/>
              </w:rPr>
              <w:t>3.</w:t>
            </w:r>
          </w:p>
        </w:tc>
        <w:tc>
          <w:tcPr>
            <w:tcW w:w="2672" w:type="dxa"/>
            <w:tcBorders>
              <w:top w:val="single" w:sz="4" w:space="0" w:color="auto"/>
              <w:left w:val="nil"/>
              <w:bottom w:val="single" w:sz="4" w:space="0" w:color="auto"/>
              <w:right w:val="single" w:sz="4" w:space="0" w:color="auto"/>
            </w:tcBorders>
            <w:shd w:val="clear" w:color="auto" w:fill="auto"/>
            <w:vAlign w:val="center"/>
            <w:hideMark/>
          </w:tcPr>
          <w:p w14:paraId="02A43A40"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Personalo verslo partnerio paslauga</w:t>
            </w:r>
          </w:p>
        </w:tc>
        <w:tc>
          <w:tcPr>
            <w:tcW w:w="6237" w:type="dxa"/>
            <w:tcBorders>
              <w:top w:val="nil"/>
              <w:left w:val="nil"/>
              <w:bottom w:val="single" w:sz="4" w:space="0" w:color="auto"/>
              <w:right w:val="single" w:sz="4" w:space="0" w:color="auto"/>
            </w:tcBorders>
            <w:shd w:val="clear" w:color="auto" w:fill="auto"/>
            <w:vAlign w:val="center"/>
            <w:hideMark/>
          </w:tcPr>
          <w:p w14:paraId="715B542E" w14:textId="77777777" w:rsidR="00BD743B" w:rsidRPr="00324154" w:rsidRDefault="00BD743B" w:rsidP="00BD743B">
            <w:pPr>
              <w:ind w:firstLine="50"/>
              <w:rPr>
                <w:rFonts w:eastAsia="Times New Roman" w:cs="Arial"/>
                <w:sz w:val="20"/>
                <w:szCs w:val="20"/>
                <w:lang w:eastAsia="lt-LT"/>
              </w:rPr>
            </w:pPr>
            <w:r w:rsidRPr="00324154">
              <w:rPr>
                <w:rFonts w:eastAsia="Times New Roman" w:cs="Arial"/>
                <w:sz w:val="20"/>
                <w:szCs w:val="20"/>
                <w:lang w:eastAsia="lt-LT"/>
              </w:rPr>
              <w:t xml:space="preserve"> - </w:t>
            </w:r>
          </w:p>
        </w:tc>
      </w:tr>
      <w:tr w:rsidR="00BD743B" w:rsidRPr="00324154" w14:paraId="222FFE34" w14:textId="77777777" w:rsidTr="00AC774C">
        <w:trPr>
          <w:trHeight w:val="300"/>
        </w:trPr>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754F094" w14:textId="5E91501C" w:rsidR="00BD743B" w:rsidRPr="007115E6" w:rsidRDefault="00AC774C" w:rsidP="00697D9A">
            <w:pPr>
              <w:jc w:val="center"/>
              <w:rPr>
                <w:rFonts w:eastAsia="Times New Roman" w:cs="Arial"/>
                <w:color w:val="000000"/>
                <w:sz w:val="20"/>
                <w:szCs w:val="20"/>
                <w:lang w:eastAsia="lt-LT"/>
              </w:rPr>
            </w:pPr>
            <w:r>
              <w:rPr>
                <w:rFonts w:eastAsia="Times New Roman" w:cs="Arial"/>
                <w:color w:val="000000"/>
                <w:sz w:val="20"/>
                <w:szCs w:val="20"/>
                <w:lang w:eastAsia="lt-LT"/>
              </w:rPr>
              <w:t>4</w:t>
            </w:r>
            <w:r w:rsidR="00BD743B" w:rsidRPr="007115E6">
              <w:rPr>
                <w:rFonts w:eastAsia="Times New Roman" w:cs="Arial"/>
                <w:color w:val="000000"/>
                <w:sz w:val="20"/>
                <w:szCs w:val="20"/>
                <w:lang w:eastAsia="lt-LT"/>
              </w:rPr>
              <w:t>.</w:t>
            </w:r>
          </w:p>
        </w:tc>
        <w:tc>
          <w:tcPr>
            <w:tcW w:w="2672" w:type="dxa"/>
            <w:vMerge w:val="restart"/>
            <w:tcBorders>
              <w:top w:val="single" w:sz="4" w:space="0" w:color="auto"/>
              <w:left w:val="single" w:sz="4" w:space="0" w:color="auto"/>
              <w:right w:val="single" w:sz="4" w:space="0" w:color="auto"/>
            </w:tcBorders>
            <w:shd w:val="clear" w:color="auto" w:fill="auto"/>
            <w:vAlign w:val="center"/>
            <w:hideMark/>
          </w:tcPr>
          <w:p w14:paraId="709E459D" w14:textId="77777777" w:rsidR="00BD743B" w:rsidRPr="007115E6" w:rsidRDefault="00BD743B" w:rsidP="00BD743B">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237"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AC774C">
        <w:trPr>
          <w:trHeight w:val="452"/>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lastRenderedPageBreak/>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E8F84" w14:textId="77777777" w:rsidR="00F54DB7" w:rsidRDefault="00F54DB7" w:rsidP="00427694">
      <w:r>
        <w:separator/>
      </w:r>
    </w:p>
  </w:endnote>
  <w:endnote w:type="continuationSeparator" w:id="0">
    <w:p w14:paraId="3E12AC5B" w14:textId="77777777" w:rsidR="00F54DB7" w:rsidRDefault="00F54DB7"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11531" w14:textId="77777777" w:rsidR="00F54DB7" w:rsidRDefault="00F54DB7" w:rsidP="00427694">
      <w:r>
        <w:separator/>
      </w:r>
    </w:p>
  </w:footnote>
  <w:footnote w:type="continuationSeparator" w:id="0">
    <w:p w14:paraId="258DA0C4" w14:textId="77777777" w:rsidR="00F54DB7" w:rsidRDefault="00F54DB7"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F4E67"/>
    <w:rsid w:val="001F57AC"/>
    <w:rsid w:val="00205616"/>
    <w:rsid w:val="00221B57"/>
    <w:rsid w:val="002465CA"/>
    <w:rsid w:val="002528BA"/>
    <w:rsid w:val="002635E4"/>
    <w:rsid w:val="00270435"/>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5F5720"/>
    <w:rsid w:val="00606179"/>
    <w:rsid w:val="00606F55"/>
    <w:rsid w:val="00617582"/>
    <w:rsid w:val="00625A51"/>
    <w:rsid w:val="00650104"/>
    <w:rsid w:val="006709BC"/>
    <w:rsid w:val="006728A3"/>
    <w:rsid w:val="00686D60"/>
    <w:rsid w:val="006A5FEC"/>
    <w:rsid w:val="006C5A08"/>
    <w:rsid w:val="006D3CC0"/>
    <w:rsid w:val="006D7831"/>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4DB7"/>
    <w:rsid w:val="00F57A8D"/>
    <w:rsid w:val="00F7214E"/>
    <w:rsid w:val="00F8403C"/>
    <w:rsid w:val="00F86E1C"/>
    <w:rsid w:val="00F93BF6"/>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AFF62059EA4A6A88B23D6A49F85E18"/>
        <w:category>
          <w:name w:val="General"/>
          <w:gallery w:val="placeholder"/>
        </w:category>
        <w:types>
          <w:type w:val="bbPlcHdr"/>
        </w:types>
        <w:behaviors>
          <w:behavior w:val="content"/>
        </w:behaviors>
        <w:guid w:val="{40BE0598-75DA-40E7-A8F5-E92D31C2415D}"/>
      </w:docPartPr>
      <w:docPartBody>
        <w:p w:rsidR="00584FFD" w:rsidRDefault="00942944" w:rsidP="00942944">
          <w:pPr>
            <w:pStyle w:val="7EAFF62059EA4A6A88B23D6A49F85E1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584FFD"/>
    <w:rsid w:val="00942944"/>
    <w:rsid w:val="00B40D91"/>
    <w:rsid w:val="00DB3D37"/>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AFF62059EA4A6A88B23D6A49F85E18">
    <w:name w:val="7EAFF62059EA4A6A88B23D6A49F85E18"/>
    <w:rsid w:val="00942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664BF9-7E93-45D0-BD06-37A3F2A2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3443</Words>
  <Characters>1964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Živilė Kasparavičienė</cp:lastModifiedBy>
  <cp:revision>46</cp:revision>
  <dcterms:created xsi:type="dcterms:W3CDTF">2019-11-20T08:52:00Z</dcterms:created>
  <dcterms:modified xsi:type="dcterms:W3CDTF">2020-12-31T06:21:00Z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