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APPROVED by</w:t>
            </w:r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71C6571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</w:t>
            </w:r>
          </w:p>
          <w:p w14:paraId="16483291" w14:textId="76F6567E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July 29</w:t>
            </w:r>
          </w:p>
          <w:p w14:paraId="6AC895C0" w14:textId="48BA6AD9" w:rsidR="00271698" w:rsidRPr="001E3AA5" w:rsidRDefault="00C43CD7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ITT and administration department</w:t>
            </w:r>
          </w:p>
          <w:p w14:paraId="2C25E5FB" w14:textId="4A780619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director direction No.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  <w:tc>
          <w:tcPr>
            <w:tcW w:w="3260" w:type="dxa"/>
          </w:tcPr>
          <w:p w14:paraId="5166C22A" w14:textId="21879EF2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 m.</w:t>
            </w:r>
          </w:p>
          <w:p w14:paraId="6E33B08D" w14:textId="55CD3767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Liepos 29 d.</w:t>
            </w:r>
          </w:p>
          <w:p w14:paraId="573AD35A" w14:textId="4099689A" w:rsidR="00271698" w:rsidRPr="001E3AA5" w:rsidRDefault="005C1E2E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5C1E2E">
              <w:rPr>
                <w:rFonts w:ascii="Trebuchet MS" w:hAnsi="Trebuchet MS" w:cs="Arial"/>
                <w:sz w:val="18"/>
                <w:szCs w:val="18"/>
              </w:rPr>
              <w:t>ITT ir administravimo d</w:t>
            </w:r>
            <w:r w:rsidR="00271698" w:rsidRPr="005C1E2E">
              <w:rPr>
                <w:rFonts w:ascii="Trebuchet MS" w:hAnsi="Trebuchet MS" w:cs="Arial"/>
                <w:sz w:val="18"/>
                <w:szCs w:val="18"/>
              </w:rPr>
              <w:t>epartamento direktoriaus nurodymu Nr.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4D088D5D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110 kV voltage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overhead lines</w:t>
            </w:r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optical ground wire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metalinės apvijos turi atitikti / Conductor‘s metallic wires shall satisfy</w:t>
            </w:r>
          </w:p>
        </w:tc>
        <w:tc>
          <w:tcPr>
            <w:tcW w:w="3687" w:type="dxa"/>
            <w:gridSpan w:val="2"/>
            <w:vAlign w:val="center"/>
          </w:tcPr>
          <w:p w14:paraId="727097C9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61232,</w:t>
            </w:r>
          </w:p>
          <w:p w14:paraId="647BDBE0" w14:textId="2AE4A41E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60104,</w:t>
            </w:r>
          </w:p>
          <w:p w14:paraId="7EAF02E7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50183,</w:t>
            </w:r>
          </w:p>
          <w:p w14:paraId="64FF8F71" w14:textId="2078EE9D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60889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 pipe shall satisfy</w:t>
            </w:r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Plieninis vamzdelis turi atitikti/</w:t>
            </w:r>
          </w:p>
          <w:p w14:paraId="5478E3BB" w14:textId="5A66BD1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Stainless steel pipe shall satisfy</w:t>
            </w:r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Gamintojo kokybės vadybos sistema turi būti įvertinta sertifikatu / Manufacturer’s quality management system shall be 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Highest operating ambient temperature shall be not less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Lowest operating ambient temperature shall be not higher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Highest installation ambient temperature shall be not less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Lowest installation ambient temperature shall be not higher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ŽTŠK konstrukcija / OPGW design</w:t>
            </w:r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apie 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 tube or stranded tube around 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 of metal tube for fiber place</w:t>
            </w:r>
          </w:p>
        </w:tc>
        <w:tc>
          <w:tcPr>
            <w:tcW w:w="3687" w:type="dxa"/>
            <w:gridSpan w:val="2"/>
            <w:vAlign w:val="center"/>
          </w:tcPr>
          <w:p w14:paraId="7D84BE88" w14:textId="0887354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Plienas apsaugotas aliuminiu arba aliuminis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688E576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Aluminium  protected steel or aluminium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Želės 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Gel 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 metallic wires type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4F72A9F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lydinio (AA) arba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 Aluminium alloy (AA) or aluminium clad steel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Oro linijos įtampa/ Overhead line voltage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46023D3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35E9E83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kaip/ Long-term allowable tension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B2A573E" w14:textId="77777777" w:rsidTr="005A2AF1">
        <w:trPr>
          <w:cantSplit/>
        </w:trPr>
        <w:tc>
          <w:tcPr>
            <w:tcW w:w="710" w:type="dxa"/>
            <w:vAlign w:val="center"/>
          </w:tcPr>
          <w:p w14:paraId="3B0C5F56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15AB6C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 less than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 higher than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5FA6D43A" w14:textId="2B5CD31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4B5FE49" w14:textId="231C1CB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 w:rsidTr="00AD0B0B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 for fibers: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Single mode fiber parameters </w:t>
            </w:r>
            <w:r w:rsidRPr="00240D2E">
              <w:rPr>
                <w:rFonts w:ascii="Trebuchet MS" w:hAnsi="Trebuchet MS" w:cs="Arial"/>
                <w:sz w:val="18"/>
                <w:szCs w:val="18"/>
              </w:rPr>
              <w:t>according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 fiber standard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spalvinio kodavimo metodas pagal/ Optical fiber color coding according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598-A, arba 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 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Skaidulų kiekis ŽTŠK, nustatomas projekto rengimo metu/ Number of fibers in OPGW, determined during designing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arba/or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Pastabos/ Notes:</w:t>
            </w:r>
          </w:p>
          <w:p w14:paraId="4D7CB4A7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(trys) skirtingi ŽTŠK tipai/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overheaad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442B4854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Techniniame projekte dydžių reikšmės gali būti koreguojamos, tačiau tik griežtinant reikalavimus/ Values can be adjusted in a process of a design but only to more severe conditions.</w:t>
            </w: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Copy of manufacturer catalogue and/or summary of technical parameters, and/or drawing of the equipment;</w:t>
            </w:r>
          </w:p>
          <w:p w14:paraId="0EFFAADA" w14:textId="2FE51C7B" w:rsidR="001220FF" w:rsidRPr="001E3AA5" w:rsidRDefault="001F32F7" w:rsidP="001F32F7">
            <w:pPr>
              <w:rPr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Copy of the certificate.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86719" w14:textId="77777777" w:rsidR="00C610FB" w:rsidRDefault="00C610FB" w:rsidP="009137D7">
      <w:r>
        <w:separator/>
      </w:r>
    </w:p>
  </w:endnote>
  <w:endnote w:type="continuationSeparator" w:id="0">
    <w:p w14:paraId="6F1A0B82" w14:textId="77777777" w:rsidR="00C610FB" w:rsidRDefault="00C610F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40B36" w14:textId="77777777" w:rsidR="00C610FB" w:rsidRDefault="00C610FB" w:rsidP="009137D7">
      <w:r>
        <w:separator/>
      </w:r>
    </w:p>
  </w:footnote>
  <w:footnote w:type="continuationSeparator" w:id="0">
    <w:p w14:paraId="58A35223" w14:textId="77777777" w:rsidR="00C610FB" w:rsidRDefault="00C610F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5"/>
  </w:num>
  <w:num w:numId="9">
    <w:abstractNumId w:val="27"/>
  </w:num>
  <w:num w:numId="10">
    <w:abstractNumId w:val="7"/>
  </w:num>
  <w:num w:numId="11">
    <w:abstractNumId w:val="28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1"/>
  </w:num>
  <w:num w:numId="17">
    <w:abstractNumId w:val="0"/>
  </w:num>
  <w:num w:numId="18">
    <w:abstractNumId w:val="31"/>
  </w:num>
  <w:num w:numId="19">
    <w:abstractNumId w:val="24"/>
  </w:num>
  <w:num w:numId="20">
    <w:abstractNumId w:val="29"/>
  </w:num>
  <w:num w:numId="21">
    <w:abstractNumId w:val="23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30"/>
  </w:num>
  <w:num w:numId="27">
    <w:abstractNumId w:val="22"/>
  </w:num>
  <w:num w:numId="28">
    <w:abstractNumId w:val="26"/>
  </w:num>
  <w:num w:numId="29">
    <w:abstractNumId w:val="20"/>
  </w:num>
  <w:num w:numId="30">
    <w:abstractNumId w:val="15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32F7"/>
    <w:rsid w:val="001F76F7"/>
    <w:rsid w:val="00202168"/>
    <w:rsid w:val="00221260"/>
    <w:rsid w:val="00225075"/>
    <w:rsid w:val="00233C35"/>
    <w:rsid w:val="00240D2E"/>
    <w:rsid w:val="002441B3"/>
    <w:rsid w:val="002545A1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11E0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467D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704CD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B6B83"/>
    <w:rsid w:val="00EC1C2E"/>
    <w:rsid w:val="00ED24C8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PVIS-2004230962-94</_dlc_DocId>
    <_dlc_DocIdUrl xmlns="58896280-883f-49e1-8f2c-86b01e3ff616">
      <Url>https://projektai.intranet.litgrid.eu/PWA/330kV EPL Darbėnai - Bitėnai statyba/_layouts/15/DocIdRedir.aspx?ID=PVIS-2004230962-94</Url>
      <Description>PVIS-2004230962-94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A5E4A-93DC-4668-A0D3-A54BEF1266E1}"/>
</file>

<file path=customXml/itemProps3.xml><?xml version="1.0" encoding="utf-8"?>
<ds:datastoreItem xmlns:ds="http://schemas.openxmlformats.org/officeDocument/2006/customXml" ds:itemID="{02173A6C-924B-417E-8530-578CE475768B}"/>
</file>

<file path=customXml/itemProps4.xml><?xml version="1.0" encoding="utf-8"?>
<ds:datastoreItem xmlns:ds="http://schemas.openxmlformats.org/officeDocument/2006/customXml" ds:itemID="{9CED3707-D7E2-45E4-92FF-24179CD96C28}"/>
</file>

<file path=customXml/itemProps5.xml><?xml version="1.0" encoding="utf-8"?>
<ds:datastoreItem xmlns:ds="http://schemas.openxmlformats.org/officeDocument/2006/customXml" ds:itemID="{760DC175-5156-40DE-86EF-18BA38E74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3819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4c9bd047-8b94-4b7d-8dcd-06413dcf94c8</vt:lpwstr>
  </property>
  <property fmtid="{D5CDD505-2E9C-101B-9397-08002B2CF9AE}" pid="3" name="ContentTypeId">
    <vt:lpwstr>0x01010066872F3CC8F7D84995438B893169A08002002B30E6A1EED2DB40AD4D240E740AD26C</vt:lpwstr>
  </property>
</Properties>
</file>