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A8" w:rsidRDefault="00FB7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51"/>
        <w:gridCol w:w="4263"/>
        <w:gridCol w:w="4537"/>
      </w:tblGrid>
      <w:tr w:rsidR="00EA32A8">
        <w:trPr>
          <w:tblHeader/>
        </w:trPr>
        <w:tc>
          <w:tcPr>
            <w:tcW w:w="551" w:type="dxa"/>
            <w:vAlign w:val="center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4263" w:type="dxa"/>
            <w:vAlign w:val="center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Prekės  pavadinimas ir techniniai reikalavimai</w:t>
            </w:r>
          </w:p>
        </w:tc>
        <w:tc>
          <w:tcPr>
            <w:tcW w:w="4537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Siūlomos prekės pavadinimas,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gamintojas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ir techninė charakteristika </w:t>
            </w:r>
          </w:p>
        </w:tc>
      </w:tr>
      <w:tr w:rsidR="00EA32A8">
        <w:trPr>
          <w:trHeight w:val="611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263" w:type="dxa"/>
          </w:tcPr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 turi atitikti šias technines charakteristikas:</w:t>
            </w:r>
          </w:p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4(±0,1) x 30(±0,1)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4x30-ZnG/Kinija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https://www.varztupasaulis.lt/#!qry=m0400302</w:t>
            </w:r>
          </w:p>
        </w:tc>
      </w:tr>
      <w:tr w:rsidR="00EA32A8">
        <w:trPr>
          <w:trHeight w:val="864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263" w:type="dxa"/>
          </w:tcPr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 turi atitikti šias technines charakteristikas:</w:t>
            </w:r>
          </w:p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4(±0,1) x 16(±0,1)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 4x16-ZnG/Kinija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https://www.varztupasaulis.lt/#!qry=m0400162</w:t>
            </w:r>
          </w:p>
        </w:tc>
      </w:tr>
      <w:tr w:rsidR="00EA32A8">
        <w:trPr>
          <w:trHeight w:val="599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263" w:type="dxa"/>
          </w:tcPr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. turi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atitikti šias technines charakteristikas:</w:t>
            </w:r>
          </w:p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3,5(±0,1) x 16(±0,1)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 3,5x16-ZnG/Kinija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https://www.varztupasaulis.lt/#!qry=m0350162</w:t>
            </w:r>
          </w:p>
        </w:tc>
      </w:tr>
      <w:tr w:rsidR="00EA32A8">
        <w:trPr>
          <w:trHeight w:val="879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263" w:type="dxa"/>
          </w:tcPr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 turi atitikti šias technines charakteristikas:</w:t>
            </w:r>
          </w:p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3(±0,1) x 20(±0,1)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 3x20-ZnG/Kinija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https://www.varztupasaulis.lt/#!qry=m0300202</w:t>
            </w:r>
          </w:p>
        </w:tc>
      </w:tr>
      <w:tr w:rsidR="00EA32A8">
        <w:trPr>
          <w:trHeight w:val="923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263" w:type="dxa"/>
          </w:tcPr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 turi atitikti šias technines charakteristikas:</w:t>
            </w:r>
          </w:p>
          <w:p w:rsidR="00EA32A8" w:rsidRDefault="00FB758D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4(±0,1) x 20(±0,1)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 4x20-ZnG/Kinija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https://www.varztupasaulis.lt/#!qry=m0400202</w:t>
            </w:r>
          </w:p>
        </w:tc>
      </w:tr>
      <w:tr w:rsidR="00EA32A8">
        <w:trPr>
          <w:trHeight w:val="797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3,5(±0,1) x 35 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 3,5x35-ZnG/Kinija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https://www.varztupasaulis.lt/#!qry=m0350352</w:t>
            </w:r>
          </w:p>
        </w:tc>
      </w:tr>
      <w:tr w:rsidR="00EA32A8">
        <w:trPr>
          <w:trHeight w:val="801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Medsr.įl.g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.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6(±0,1) x 120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Medsr.įl.g</w:t>
            </w:r>
            <w:proofErr w:type="spellEnd"/>
            <w:r>
              <w:rPr>
                <w:sz w:val="18"/>
                <w:szCs w:val="18"/>
              </w:rPr>
              <w:t>. 6x120/68-ZnG/Kinija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https://www.varztupasaulis.lt/#!qry=m060120268</w:t>
            </w:r>
          </w:p>
        </w:tc>
      </w:tr>
      <w:tr w:rsidR="00EA32A8">
        <w:trPr>
          <w:trHeight w:val="803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Kaištis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6</w:t>
            </w:r>
            <w:bookmarkStart w:id="1" w:name="_GoBack_Copy_1"/>
            <w:bookmarkEnd w:id="1"/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(±0,1) x 35 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Kaištis 6x35 </w:t>
            </w:r>
            <w:proofErr w:type="spellStart"/>
            <w:r>
              <w:rPr>
                <w:sz w:val="18"/>
                <w:szCs w:val="18"/>
              </w:rPr>
              <w:t>univer.NYLON</w:t>
            </w:r>
            <w:proofErr w:type="spellEnd"/>
            <w:r>
              <w:rPr>
                <w:sz w:val="18"/>
                <w:szCs w:val="18"/>
              </w:rPr>
              <w:t xml:space="preserve"> KPW/Lenkija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https://www.varztupasaulis.lt/#!qry=k060035kpw</w:t>
            </w:r>
          </w:p>
        </w:tc>
      </w:tr>
      <w:tr w:rsidR="00EA32A8">
        <w:trPr>
          <w:trHeight w:val="482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Kaištis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6(±0,1) x 50(±0,1)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Kaištis 6x50 </w:t>
            </w:r>
            <w:proofErr w:type="spellStart"/>
            <w:r>
              <w:rPr>
                <w:sz w:val="18"/>
                <w:szCs w:val="18"/>
              </w:rPr>
              <w:t>univer.NYLON</w:t>
            </w:r>
            <w:proofErr w:type="spellEnd"/>
            <w:r>
              <w:rPr>
                <w:sz w:val="18"/>
                <w:szCs w:val="18"/>
              </w:rPr>
              <w:t xml:space="preserve"> KPW/Lenkija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https://www.varztupasaulis.lt/#!qry=k060050kpw</w:t>
            </w:r>
          </w:p>
        </w:tc>
      </w:tr>
      <w:tr w:rsidR="00EA32A8">
        <w:trPr>
          <w:trHeight w:val="687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Kaištis turi atitikti šias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8(±0,1) x 100(±0,1)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Kaištis 8x100 NYLON (</w:t>
            </w:r>
            <w:proofErr w:type="spellStart"/>
            <w:r>
              <w:rPr>
                <w:sz w:val="18"/>
                <w:szCs w:val="18"/>
              </w:rPr>
              <w:t>prailg</w:t>
            </w:r>
            <w:proofErr w:type="spellEnd"/>
            <w:r>
              <w:rPr>
                <w:sz w:val="18"/>
                <w:szCs w:val="18"/>
              </w:rPr>
              <w:t>.) W-KPR/Lenkija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https://www.varztupasaulis.lt/#!qry=k080100p</w:t>
            </w:r>
          </w:p>
        </w:tc>
      </w:tr>
      <w:tr w:rsidR="00EA32A8">
        <w:trPr>
          <w:trHeight w:val="687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Kaištis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8(±0,1) x 120(±0,1)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Kaištis 8x1</w:t>
            </w:r>
            <w:r>
              <w:rPr>
                <w:sz w:val="18"/>
                <w:szCs w:val="18"/>
              </w:rPr>
              <w:t>20 NYLON (</w:t>
            </w:r>
            <w:proofErr w:type="spellStart"/>
            <w:r>
              <w:rPr>
                <w:sz w:val="18"/>
                <w:szCs w:val="18"/>
              </w:rPr>
              <w:t>prailg</w:t>
            </w:r>
            <w:proofErr w:type="spellEnd"/>
            <w:r>
              <w:rPr>
                <w:sz w:val="18"/>
                <w:szCs w:val="18"/>
              </w:rPr>
              <w:t>.) W-KPR/Lenkija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https://www.varztupasaulis.lt/#!qry=k080120p</w:t>
            </w:r>
          </w:p>
        </w:tc>
      </w:tr>
      <w:tr w:rsidR="00EA32A8">
        <w:trPr>
          <w:trHeight w:val="687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Poveržlė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4,0 (±0,1) mm;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Tipas: plati.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DIN9021 M4-Zn (Poveržlė plati)/Kinija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https://www.varztupasaulis.lt/#!qry=040119021</w:t>
            </w:r>
          </w:p>
        </w:tc>
      </w:tr>
      <w:tr w:rsidR="00EA32A8">
        <w:trPr>
          <w:trHeight w:val="687"/>
        </w:trPr>
        <w:tc>
          <w:tcPr>
            <w:tcW w:w="551" w:type="dxa"/>
          </w:tcPr>
          <w:p w:rsidR="00EA32A8" w:rsidRDefault="00FB7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263" w:type="dxa"/>
          </w:tcPr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Vinys tolinės turi atitikti šias technines charakteristikas:</w:t>
            </w:r>
          </w:p>
          <w:p w:rsidR="00EA32A8" w:rsidRDefault="00FB758D">
            <w:pPr>
              <w:shd w:val="clear" w:color="auto" w:fill="FFFFFF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Matmenys: 2(±0,1) x 25(±0,1) mm;</w:t>
            </w:r>
          </w:p>
        </w:tc>
        <w:tc>
          <w:tcPr>
            <w:tcW w:w="4537" w:type="dxa"/>
          </w:tcPr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Vinis tolinė 2,0x25/Lietuva</w:t>
            </w:r>
          </w:p>
          <w:p w:rsidR="00EA32A8" w:rsidRDefault="00FB758D">
            <w:pPr>
              <w:pStyle w:val="Lentelsturiny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https://www.varztupasaulis.lt/#!qry=vt02002501</w:t>
            </w:r>
          </w:p>
        </w:tc>
      </w:tr>
    </w:tbl>
    <w:p w:rsidR="00EA32A8" w:rsidRDefault="00EA32A8">
      <w:pPr>
        <w:spacing w:after="0" w:line="240" w:lineRule="auto"/>
        <w:ind w:left="-284"/>
        <w:rPr>
          <w:szCs w:val="24"/>
        </w:rPr>
      </w:pPr>
    </w:p>
    <w:p w:rsidR="00EA32A8" w:rsidRDefault="00FB7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Papildomi reikalavimai:</w:t>
      </w:r>
    </w:p>
    <w:p w:rsidR="00EA32A8" w:rsidRDefault="00FB7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Grafoje „Siūlomos prekės pavadinimas, gamintojas ir techninė charakteristika“ turi būti nurodyti tikslūs ir konkretūs siūlomos prekės duomenys, nepaliekant lentelėje pateiktų dydžių reikšmių </w:t>
      </w:r>
      <w:proofErr w:type="spellStart"/>
      <w:r>
        <w:rPr>
          <w:rFonts w:ascii="Times New Roman" w:eastAsia="Times New Roman" w:hAnsi="Times New Roman" w:cs="Times New Roman"/>
        </w:rPr>
        <w:t>tolerancijų</w:t>
      </w:r>
      <w:proofErr w:type="spellEnd"/>
      <w:r>
        <w:rPr>
          <w:rFonts w:ascii="Times New Roman" w:eastAsia="Times New Roman" w:hAnsi="Times New Roman" w:cs="Times New Roman"/>
        </w:rPr>
        <w:t xml:space="preserve"> ir tokių reikšmių, kaip „lygiavertė“, „atitinka,“ </w:t>
      </w:r>
      <w:r>
        <w:rPr>
          <w:rFonts w:ascii="Times New Roman" w:eastAsia="Times New Roman" w:hAnsi="Times New Roman" w:cs="Times New Roman"/>
        </w:rPr>
        <w:t xml:space="preserve">„ne mažiau“ ir pan. </w:t>
      </w:r>
      <w:r>
        <w:rPr>
          <w:rFonts w:ascii="Times New Roman" w:eastAsia="Times New Roman" w:hAnsi="Times New Roman" w:cs="Times New Roman"/>
          <w:b/>
          <w:color w:val="FF0000"/>
        </w:rPr>
        <w:t>Reikalinga nurodyti prekės gamintoją.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EA32A8" w:rsidRDefault="00FB7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2. Siūlomos prekės techninės charakteristikos turi būti ne blogesnės nei reikalaujamos techninėje specifikacijoje, </w:t>
      </w:r>
      <w:proofErr w:type="spellStart"/>
      <w:r>
        <w:rPr>
          <w:rFonts w:ascii="Times New Roman" w:eastAsia="Times New Roman" w:hAnsi="Times New Roman" w:cs="Times New Roman"/>
        </w:rPr>
        <w:t>t.y</w:t>
      </w:r>
      <w:proofErr w:type="spellEnd"/>
      <w:r>
        <w:rPr>
          <w:rFonts w:ascii="Times New Roman" w:eastAsia="Times New Roman" w:hAnsi="Times New Roman" w:cs="Times New Roman"/>
        </w:rPr>
        <w:t xml:space="preserve">. siūloma prekė savo savybėmis turi būti lygiavertė techninėje specifikacijoje </w:t>
      </w:r>
      <w:r>
        <w:rPr>
          <w:rFonts w:ascii="Times New Roman" w:eastAsia="Times New Roman" w:hAnsi="Times New Roman" w:cs="Times New Roman"/>
        </w:rPr>
        <w:t xml:space="preserve">reikalaujamai arba geresnių techninių parametrų. </w:t>
      </w:r>
      <w:r>
        <w:rPr>
          <w:rFonts w:ascii="Times New Roman" w:eastAsia="Times New Roman" w:hAnsi="Times New Roman" w:cs="Times New Roman"/>
          <w:b/>
          <w:color w:val="FF0000"/>
        </w:rPr>
        <w:t xml:space="preserve">Pateikti prekių atitiktį patvirtinančius dokumentus ar nuorodas į prekių aprašymus.  </w:t>
      </w:r>
    </w:p>
    <w:p w:rsidR="00EA32A8" w:rsidRDefault="00FB75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3. Prekes pardavėjas į Kauno klinikų nurodytą vietą (</w:t>
      </w:r>
      <w:proofErr w:type="spellStart"/>
      <w:r>
        <w:rPr>
          <w:rFonts w:ascii="Times New Roman" w:eastAsia="Times New Roman" w:hAnsi="Times New Roman" w:cs="Times New Roman"/>
        </w:rPr>
        <w:t>Eivenių</w:t>
      </w:r>
      <w:proofErr w:type="spellEnd"/>
      <w:r>
        <w:rPr>
          <w:rFonts w:ascii="Times New Roman" w:eastAsia="Times New Roman" w:hAnsi="Times New Roman" w:cs="Times New Roman"/>
        </w:rPr>
        <w:t xml:space="preserve"> g. 2, Kaunas) turės pristatyti savo transportu. Tiekimo </w:t>
      </w:r>
      <w:r>
        <w:rPr>
          <w:rFonts w:ascii="Times New Roman" w:eastAsia="Times New Roman" w:hAnsi="Times New Roman" w:cs="Times New Roman"/>
        </w:rPr>
        <w:t>terminas ne ilgesnis kaip 15 darbo dienų po užsakymo pateikimo dienos.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EA32A8" w:rsidRDefault="00EA32A8">
      <w:pPr>
        <w:spacing w:after="0"/>
        <w:jc w:val="both"/>
        <w:rPr>
          <w:rFonts w:ascii="Times New Roman" w:hAnsi="Times New Roman" w:cs="Times New Roman"/>
        </w:rPr>
      </w:pPr>
    </w:p>
    <w:sectPr w:rsidR="00EA32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567" w:bottom="1134" w:left="170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8D" w:rsidRDefault="00FB758D">
      <w:pPr>
        <w:spacing w:after="0" w:line="240" w:lineRule="auto"/>
      </w:pPr>
      <w:r>
        <w:separator/>
      </w:r>
    </w:p>
  </w:endnote>
  <w:endnote w:type="continuationSeparator" w:id="0">
    <w:p w:rsidR="00FB758D" w:rsidRDefault="00FB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A8" w:rsidRDefault="00EA3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A8" w:rsidRDefault="00EA32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A8" w:rsidRDefault="00EA3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8D" w:rsidRDefault="00FB758D">
      <w:pPr>
        <w:spacing w:after="0" w:line="240" w:lineRule="auto"/>
      </w:pPr>
      <w:r>
        <w:separator/>
      </w:r>
    </w:p>
  </w:footnote>
  <w:footnote w:type="continuationSeparator" w:id="0">
    <w:p w:rsidR="00FB758D" w:rsidRDefault="00FB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A8" w:rsidRDefault="00EA3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A8" w:rsidRDefault="00EA32A8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A8" w:rsidRDefault="00EA32A8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A8"/>
    <w:rsid w:val="005143F7"/>
    <w:rsid w:val="00EA32A8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FAF3A-44C1-4B96-AD62-5D15F3DE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514A7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43FE4"/>
  </w:style>
  <w:style w:type="character" w:customStyle="1" w:styleId="FooterChar">
    <w:name w:val="Footer Char"/>
    <w:basedOn w:val="DefaultParagraphFont"/>
    <w:link w:val="Footer"/>
    <w:uiPriority w:val="99"/>
    <w:qFormat/>
    <w:rsid w:val="00443FE4"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43FE4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43FE4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2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20200720s</dc:creator>
  <dc:description/>
  <cp:lastModifiedBy>Lina Glebė</cp:lastModifiedBy>
  <cp:revision>2</cp:revision>
  <dcterms:created xsi:type="dcterms:W3CDTF">2023-07-10T12:20:00Z</dcterms:created>
  <dcterms:modified xsi:type="dcterms:W3CDTF">2023-07-10T12:20:00Z</dcterms:modified>
  <dc:language>lt-LT</dc:language>
</cp:coreProperties>
</file>