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656C" w14:textId="77777777" w:rsidR="002B16D2" w:rsidRPr="00EA210B" w:rsidRDefault="002B16D2" w:rsidP="00CC2ED6">
      <w:pPr>
        <w:tabs>
          <w:tab w:val="left" w:pos="3828"/>
        </w:tabs>
        <w:ind w:firstLine="567"/>
        <w:rPr>
          <w:rFonts w:ascii="Arial" w:hAnsi="Arial" w:cs="Arial"/>
          <w:color w:val="auto"/>
          <w:sz w:val="22"/>
          <w:szCs w:val="22"/>
        </w:rPr>
      </w:pPr>
    </w:p>
    <w:p w14:paraId="3DB0B727" w14:textId="1B4E11FE" w:rsidR="002B16D2" w:rsidRPr="00137615" w:rsidRDefault="002B16D2" w:rsidP="00C82170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37615">
        <w:rPr>
          <w:rFonts w:asciiTheme="minorHAnsi" w:hAnsiTheme="minorHAnsi" w:cstheme="minorHAnsi"/>
          <w:b/>
          <w:color w:val="auto"/>
          <w:sz w:val="22"/>
          <w:szCs w:val="22"/>
        </w:rPr>
        <w:t>PASLAUGŲ PIRKIMO TECHNINĖ SPECIFIKACIJA</w:t>
      </w:r>
    </w:p>
    <w:p w14:paraId="3F6F219E" w14:textId="77777777" w:rsidR="002B16D2" w:rsidRPr="00137615" w:rsidRDefault="002B16D2" w:rsidP="00C82170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25698B0F" w14:textId="77777777" w:rsidR="002B16D2" w:rsidRPr="00137615" w:rsidRDefault="002B16D2" w:rsidP="00C82170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615">
        <w:rPr>
          <w:rFonts w:asciiTheme="minorHAnsi" w:hAnsiTheme="minorHAnsi" w:cstheme="minorHAnsi"/>
          <w:b/>
          <w:sz w:val="22"/>
          <w:szCs w:val="22"/>
        </w:rPr>
        <w:t>1. PIRKIMO OBJEKTAS</w:t>
      </w:r>
    </w:p>
    <w:p w14:paraId="5D087E10" w14:textId="0A6F8EC1" w:rsidR="002B16D2" w:rsidRPr="00137615" w:rsidRDefault="006B0749" w:rsidP="00C82170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137615">
        <w:rPr>
          <w:rFonts w:asciiTheme="minorHAnsi" w:hAnsiTheme="minorHAnsi" w:cstheme="minorHAnsi"/>
          <w:i w:val="0"/>
          <w:iCs w:val="0"/>
          <w:sz w:val="22"/>
          <w:szCs w:val="22"/>
        </w:rPr>
        <w:t>Interneto paslaugos</w:t>
      </w:r>
      <w:r w:rsidR="00137615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(toliau – Paslaugos).</w:t>
      </w:r>
    </w:p>
    <w:p w14:paraId="29D90DD2" w14:textId="77777777" w:rsidR="002B16D2" w:rsidRPr="00137615" w:rsidRDefault="002B16D2" w:rsidP="00C82170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6F3FB3F" w14:textId="77777777" w:rsidR="002B16D2" w:rsidRPr="00137615" w:rsidRDefault="002B16D2" w:rsidP="00C82170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137615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2. PIRKIMO OBJEKTO PRITAIKYMO SRITIS </w:t>
      </w:r>
    </w:p>
    <w:p w14:paraId="58FA5E13" w14:textId="1B4CBD8B" w:rsidR="002B16D2" w:rsidRPr="00137615" w:rsidRDefault="006B0749" w:rsidP="00C82170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137615">
        <w:rPr>
          <w:rFonts w:asciiTheme="minorHAnsi" w:hAnsiTheme="minorHAnsi" w:cstheme="minorHAnsi"/>
          <w:i w:val="0"/>
          <w:iCs w:val="0"/>
          <w:sz w:val="22"/>
          <w:szCs w:val="22"/>
        </w:rPr>
        <w:t>Interneto ryšio paslaugos</w:t>
      </w:r>
      <w:r w:rsidR="000A024C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17F7F5F7" w14:textId="77777777" w:rsidR="002B16D2" w:rsidRPr="00137615" w:rsidRDefault="002B16D2" w:rsidP="00C82170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D79516A" w14:textId="019731FB" w:rsidR="002B16D2" w:rsidRPr="00137615" w:rsidRDefault="002B16D2" w:rsidP="00C8217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615">
        <w:rPr>
          <w:rFonts w:asciiTheme="minorHAnsi" w:hAnsiTheme="minorHAnsi" w:cstheme="minorHAnsi"/>
          <w:b/>
          <w:sz w:val="22"/>
          <w:szCs w:val="22"/>
        </w:rPr>
        <w:t>3. TECHNINI</w:t>
      </w:r>
      <w:r w:rsidR="002A5369" w:rsidRPr="00137615">
        <w:rPr>
          <w:rFonts w:asciiTheme="minorHAnsi" w:hAnsiTheme="minorHAnsi" w:cstheme="minorHAnsi"/>
          <w:b/>
          <w:sz w:val="22"/>
          <w:szCs w:val="22"/>
        </w:rPr>
        <w:t>AI</w:t>
      </w:r>
      <w:r w:rsidRPr="00137615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2A5369" w:rsidRPr="00137615">
        <w:rPr>
          <w:rFonts w:asciiTheme="minorHAnsi" w:hAnsiTheme="minorHAnsi" w:cstheme="minorHAnsi"/>
          <w:b/>
          <w:sz w:val="22"/>
          <w:szCs w:val="22"/>
        </w:rPr>
        <w:t>AI</w:t>
      </w:r>
      <w:r w:rsidRPr="00137615">
        <w:rPr>
          <w:rFonts w:asciiTheme="minorHAnsi" w:hAnsiTheme="minorHAnsi" w:cstheme="minorHAnsi"/>
          <w:b/>
          <w:sz w:val="22"/>
          <w:szCs w:val="22"/>
        </w:rPr>
        <w:t>, KURIUOS TURI ATITIKTI PERKAMOS PASLAUGOS</w:t>
      </w:r>
      <w:r w:rsidR="008568EE" w:rsidRPr="0013761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A8CDB9" w14:textId="33F89FEA" w:rsidR="002B16D2" w:rsidRPr="00137615" w:rsidRDefault="0094606D" w:rsidP="00C82170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Paslaugos tiekėjas turės teikti ryšį su Internetu iš taško, esančio Elektrinės g. 2, Vilniuje.</w:t>
      </w:r>
    </w:p>
    <w:p w14:paraId="6774660A" w14:textId="487FA92D" w:rsidR="0094606D" w:rsidRPr="00137615" w:rsidRDefault="0094606D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Paslaugos tiekėjas privalo įrengti ryšio įvadus </w:t>
      </w:r>
      <w:r w:rsidR="00C82170" w:rsidRPr="00137615">
        <w:rPr>
          <w:rFonts w:asciiTheme="minorHAnsi" w:hAnsiTheme="minorHAnsi" w:cstheme="minorHAnsi"/>
          <w:sz w:val="22"/>
          <w:szCs w:val="22"/>
        </w:rPr>
        <w:t xml:space="preserve">AB Vilniaus šilumos tinklai (toliau – Perkantysis subjektas) </w:t>
      </w:r>
      <w:r w:rsidRPr="00137615">
        <w:rPr>
          <w:rFonts w:asciiTheme="minorHAnsi" w:hAnsiTheme="minorHAnsi" w:cstheme="minorHAnsi"/>
          <w:sz w:val="22"/>
          <w:szCs w:val="22"/>
        </w:rPr>
        <w:t xml:space="preserve"> nurodytose patalpose.</w:t>
      </w:r>
    </w:p>
    <w:p w14:paraId="57D5353E" w14:textId="6BEC75A6" w:rsidR="00061DBE" w:rsidRPr="00137615" w:rsidRDefault="0094606D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Interneto gavimo/siuntimo greitaveika iš/į Lietuvą, užsienį: ne mažiau kaip 160 Mbps.</w:t>
      </w:r>
    </w:p>
    <w:p w14:paraId="2891C997" w14:textId="17924A8E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Paketų vėlinimas </w:t>
      </w:r>
      <w:r w:rsidRPr="00137615">
        <w:rPr>
          <w:rFonts w:asciiTheme="minorHAnsi" w:hAnsiTheme="minorHAnsi" w:cstheme="minorHAnsi"/>
          <w:sz w:val="22"/>
          <w:szCs w:val="22"/>
          <w:lang w:val="en-US"/>
        </w:rPr>
        <w:t>(„round trip delay“-</w:t>
      </w:r>
      <w:r w:rsidRPr="00137615">
        <w:rPr>
          <w:rFonts w:asciiTheme="minorHAnsi" w:hAnsiTheme="minorHAnsi" w:cstheme="minorHAnsi"/>
          <w:sz w:val="22"/>
          <w:szCs w:val="22"/>
        </w:rPr>
        <w:t xml:space="preserve"> RTD) nuo tiekėjo centrinio Interneto mazgo iki </w:t>
      </w:r>
      <w:r w:rsidR="00C82170" w:rsidRPr="00137615">
        <w:rPr>
          <w:rFonts w:asciiTheme="minorHAnsi" w:hAnsiTheme="minorHAnsi" w:cstheme="minorHAnsi"/>
          <w:sz w:val="22"/>
          <w:szCs w:val="22"/>
        </w:rPr>
        <w:t xml:space="preserve">Perkančiojo subjekto </w:t>
      </w:r>
      <w:r w:rsidRPr="00137615">
        <w:rPr>
          <w:rFonts w:asciiTheme="minorHAnsi" w:hAnsiTheme="minorHAnsi" w:cstheme="minorHAnsi"/>
          <w:sz w:val="22"/>
          <w:szCs w:val="22"/>
        </w:rPr>
        <w:t>tinklo (LAN): ne daugiau kaip 10 ms.</w:t>
      </w:r>
    </w:p>
    <w:p w14:paraId="2E41DE7E" w14:textId="0B707CD5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Interneto srauto paslaugos pateikimo sąsaja – </w:t>
      </w:r>
      <w:r w:rsidRPr="00137615">
        <w:rPr>
          <w:rFonts w:asciiTheme="minorHAnsi" w:hAnsiTheme="minorHAnsi" w:cstheme="minorHAnsi"/>
          <w:sz w:val="22"/>
          <w:szCs w:val="22"/>
          <w:lang w:val="en-US"/>
        </w:rPr>
        <w:t>Ethernet</w:t>
      </w:r>
      <w:r w:rsidRPr="00137615">
        <w:rPr>
          <w:rFonts w:asciiTheme="minorHAnsi" w:hAnsiTheme="minorHAnsi" w:cstheme="minorHAnsi"/>
          <w:sz w:val="22"/>
          <w:szCs w:val="22"/>
        </w:rPr>
        <w:t>.</w:t>
      </w:r>
    </w:p>
    <w:p w14:paraId="3DE2AE8A" w14:textId="674B591D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Interneto srauto paslaugos pateikiamumas, per mėnesį: ne mažiau kaip 99,</w:t>
      </w:r>
      <w:r w:rsidR="002051E6" w:rsidRPr="00137615">
        <w:rPr>
          <w:rFonts w:asciiTheme="minorHAnsi" w:hAnsiTheme="minorHAnsi" w:cstheme="minorHAnsi"/>
          <w:sz w:val="22"/>
          <w:szCs w:val="22"/>
        </w:rPr>
        <w:t>0</w:t>
      </w:r>
      <w:r w:rsidRPr="00137615">
        <w:rPr>
          <w:rFonts w:asciiTheme="minorHAnsi" w:hAnsiTheme="minorHAnsi" w:cstheme="minorHAnsi"/>
          <w:sz w:val="22"/>
          <w:szCs w:val="22"/>
        </w:rPr>
        <w:t>%.</w:t>
      </w:r>
    </w:p>
    <w:p w14:paraId="31A1A4BD" w14:textId="326C2C97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Interneto ryšio paslauga turi būti pateikta tik per paslaugos tiekėjo nuosavą ryšio infrastruktūrą be jokių tarpinių tiekėjų tinklų naudojimo (nuomos), nuo tiekėjo centrinio Interneto mazgo iki </w:t>
      </w:r>
      <w:r w:rsidR="002A5369" w:rsidRPr="00137615">
        <w:rPr>
          <w:rFonts w:asciiTheme="minorHAnsi" w:hAnsiTheme="minorHAnsi" w:cstheme="minorHAnsi"/>
          <w:sz w:val="22"/>
          <w:szCs w:val="22"/>
        </w:rPr>
        <w:t>Perkan</w:t>
      </w:r>
      <w:r w:rsidR="00C82170" w:rsidRPr="00137615">
        <w:rPr>
          <w:rFonts w:asciiTheme="minorHAnsi" w:hAnsiTheme="minorHAnsi" w:cstheme="minorHAnsi"/>
          <w:sz w:val="22"/>
          <w:szCs w:val="22"/>
        </w:rPr>
        <w:t>čiojo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 subjekt</w:t>
      </w:r>
      <w:r w:rsidR="00C82170" w:rsidRPr="00137615">
        <w:rPr>
          <w:rFonts w:asciiTheme="minorHAnsi" w:hAnsiTheme="minorHAnsi" w:cstheme="minorHAnsi"/>
          <w:sz w:val="22"/>
          <w:szCs w:val="22"/>
        </w:rPr>
        <w:t>o</w:t>
      </w:r>
      <w:r w:rsidRPr="00137615">
        <w:rPr>
          <w:rFonts w:asciiTheme="minorHAnsi" w:hAnsiTheme="minorHAnsi" w:cstheme="minorHAnsi"/>
          <w:sz w:val="22"/>
          <w:szCs w:val="22"/>
        </w:rPr>
        <w:t xml:space="preserve"> tinklo (LAN). Negali būti naudojama UAB „</w:t>
      </w:r>
      <w:r w:rsidR="00CA3A6E" w:rsidRPr="00137615">
        <w:rPr>
          <w:rFonts w:asciiTheme="minorHAnsi" w:hAnsiTheme="minorHAnsi" w:cstheme="minorHAnsi"/>
          <w:sz w:val="22"/>
          <w:szCs w:val="22"/>
        </w:rPr>
        <w:t>Mezon</w:t>
      </w:r>
      <w:r w:rsidRPr="00137615">
        <w:rPr>
          <w:rFonts w:asciiTheme="minorHAnsi" w:hAnsiTheme="minorHAnsi" w:cstheme="minorHAnsi"/>
          <w:sz w:val="22"/>
          <w:szCs w:val="22"/>
        </w:rPr>
        <w:t xml:space="preserve">“ </w:t>
      </w:r>
      <w:r w:rsidR="00CA3A6E" w:rsidRPr="00137615">
        <w:rPr>
          <w:rFonts w:asciiTheme="minorHAnsi" w:hAnsiTheme="minorHAnsi" w:cstheme="minorHAnsi"/>
          <w:sz w:val="22"/>
          <w:szCs w:val="22"/>
        </w:rPr>
        <w:t xml:space="preserve">(paslauga perimta iš  AB „Lietuvos radijo ir televizijos centras“) </w:t>
      </w:r>
      <w:r w:rsidRPr="00137615">
        <w:rPr>
          <w:rFonts w:asciiTheme="minorHAnsi" w:hAnsiTheme="minorHAnsi" w:cstheme="minorHAnsi"/>
          <w:sz w:val="22"/>
          <w:szCs w:val="22"/>
        </w:rPr>
        <w:t>ryšio infrastruktūra, kuri šiuo metu naudojama Rezervinei Interneto ryšio paslaugai teikti. Optines skaidulas galima nuomoti iš bet kurio tiekėjo.</w:t>
      </w:r>
    </w:p>
    <w:p w14:paraId="3B567151" w14:textId="7F26741B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Paslaugos tiekėjas turi turėti ne mažiau kaip 2 (du) tarptautinio Interneto ryšio kanalus.</w:t>
      </w:r>
    </w:p>
    <w:p w14:paraId="5EEAF10C" w14:textId="54FAD9CE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Jeigu Interneto ryšio paslauga teikiama radijo ryšiu, „paskutinės mylios“ sprendimui turi būti naudojamas ne viešas dažnis.</w:t>
      </w:r>
    </w:p>
    <w:p w14:paraId="6865DB0E" w14:textId="22EAEF24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Interneto ryšys į Lietuvą ir į užsienį turi būti garantuojamas ir be dalinimo koeficiento (1:1). Interneto ryšys gali būti 100% apkraunamas be jokių apribojimų ir be jokių papildomų mokesčių.</w:t>
      </w:r>
    </w:p>
    <w:p w14:paraId="3AD588DE" w14:textId="70DDF9B1" w:rsidR="00061DB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Tiekėjas turi turėti 24 val. per parą, 7 dienas per savaitę dirbančią tinklo priežiūros tarnybą.</w:t>
      </w:r>
    </w:p>
    <w:p w14:paraId="23726EED" w14:textId="2B14AD37" w:rsidR="00061DBE" w:rsidRPr="00137615" w:rsidRDefault="002A5369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Perkantysis subjektas</w:t>
      </w:r>
      <w:r w:rsidRPr="00137615" w:rsidDel="002A5369">
        <w:rPr>
          <w:rFonts w:asciiTheme="minorHAnsi" w:hAnsiTheme="minorHAnsi" w:cstheme="minorHAnsi"/>
          <w:sz w:val="22"/>
          <w:szCs w:val="22"/>
        </w:rPr>
        <w:t xml:space="preserve"> </w:t>
      </w:r>
      <w:r w:rsidR="00061DBE" w:rsidRPr="00137615">
        <w:rPr>
          <w:rFonts w:asciiTheme="minorHAnsi" w:hAnsiTheme="minorHAnsi" w:cstheme="minorHAnsi"/>
          <w:sz w:val="22"/>
          <w:szCs w:val="22"/>
        </w:rPr>
        <w:t>turi turėti galimybę stebėti savo interneto kanalo apkrovimą paskutinių 24 val., 7 dienų, 31 dienos ir 365 dienų laikotarpiams naudojant autorizuotą prisijungimą Internete.</w:t>
      </w:r>
    </w:p>
    <w:p w14:paraId="0AFDF71B" w14:textId="082CCB39" w:rsidR="00CA3A6E" w:rsidRPr="00137615" w:rsidRDefault="00061DB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Paslaugos tiekėjas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Perkančiajam subjektui </w:t>
      </w:r>
      <w:r w:rsidRPr="00137615">
        <w:rPr>
          <w:rFonts w:asciiTheme="minorHAnsi" w:hAnsiTheme="minorHAnsi" w:cstheme="minorHAnsi"/>
          <w:sz w:val="22"/>
          <w:szCs w:val="22"/>
        </w:rPr>
        <w:t xml:space="preserve">pateikia bei sukonfigūruoja maršrutizatorių, kuris įdiegiamas tarp </w:t>
      </w:r>
      <w:r w:rsidR="002A5369" w:rsidRPr="00137615">
        <w:rPr>
          <w:rFonts w:asciiTheme="minorHAnsi" w:hAnsiTheme="minorHAnsi" w:cstheme="minorHAnsi"/>
          <w:sz w:val="22"/>
          <w:szCs w:val="22"/>
        </w:rPr>
        <w:t>Perkančiojo subjekto</w:t>
      </w:r>
      <w:r w:rsidRPr="00137615">
        <w:rPr>
          <w:rFonts w:asciiTheme="minorHAnsi" w:hAnsiTheme="minorHAnsi" w:cstheme="minorHAnsi"/>
          <w:sz w:val="22"/>
          <w:szCs w:val="22"/>
        </w:rPr>
        <w:t>, tiekėjo ir esamo Rezervinio Interneto tiekėjo UAB „</w:t>
      </w:r>
      <w:r w:rsidR="00CA3A6E" w:rsidRPr="00137615">
        <w:rPr>
          <w:rFonts w:asciiTheme="minorHAnsi" w:hAnsiTheme="minorHAnsi" w:cstheme="minorHAnsi"/>
          <w:sz w:val="22"/>
          <w:szCs w:val="22"/>
        </w:rPr>
        <w:t>Mezon</w:t>
      </w:r>
      <w:r w:rsidRPr="00137615">
        <w:rPr>
          <w:rFonts w:asciiTheme="minorHAnsi" w:hAnsiTheme="minorHAnsi" w:cstheme="minorHAnsi"/>
          <w:sz w:val="22"/>
          <w:szCs w:val="22"/>
        </w:rPr>
        <w:t>“ tinklų. Maršrutizatorius turi būti sukonfigūruotas naudojant esamą Autonominę Sistemą taip, kad nutrūkus ryšiui su vienu iš Interneto tiekėjų, visas srautas turi būti nukreiptas į/iš veikiančio Interneto tiekėjo.</w:t>
      </w:r>
      <w:r w:rsidR="004E2FE4" w:rsidRPr="00137615">
        <w:rPr>
          <w:rFonts w:asciiTheme="minorHAnsi" w:hAnsiTheme="minorHAnsi" w:cstheme="minorHAnsi"/>
          <w:sz w:val="22"/>
          <w:szCs w:val="22"/>
        </w:rPr>
        <w:t xml:space="preserve"> Bent dalis Rezervinio Interneto tiekėjo tinkl</w:t>
      </w:r>
      <w:r w:rsidR="00A67656" w:rsidRPr="00137615">
        <w:rPr>
          <w:rFonts w:asciiTheme="minorHAnsi" w:hAnsiTheme="minorHAnsi" w:cstheme="minorHAnsi"/>
          <w:sz w:val="22"/>
          <w:szCs w:val="22"/>
        </w:rPr>
        <w:t>o</w:t>
      </w:r>
      <w:r w:rsidR="004E2FE4" w:rsidRPr="00137615">
        <w:rPr>
          <w:rFonts w:asciiTheme="minorHAnsi" w:hAnsiTheme="minorHAnsi" w:cstheme="minorHAnsi"/>
          <w:sz w:val="22"/>
          <w:szCs w:val="22"/>
        </w:rPr>
        <w:t xml:space="preserve"> turi būti sukonfigūruota kaip geriausias maršrutas, pasiekiamas tiesiogiai iš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Perkančiojo subjekto </w:t>
      </w:r>
      <w:r w:rsidR="004E2FE4" w:rsidRPr="00137615">
        <w:rPr>
          <w:rFonts w:asciiTheme="minorHAnsi" w:hAnsiTheme="minorHAnsi" w:cstheme="minorHAnsi"/>
          <w:sz w:val="22"/>
          <w:szCs w:val="22"/>
        </w:rPr>
        <w:t>tinklo.</w:t>
      </w:r>
    </w:p>
    <w:p w14:paraId="565493AC" w14:textId="03D8A56C" w:rsidR="00CA3A6E" w:rsidRPr="00137615" w:rsidRDefault="00CA3A6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Paslaugos tiekėjas palaiko iki 3 (trijų)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Perkančiojo subjekto </w:t>
      </w:r>
      <w:r w:rsidRPr="00137615">
        <w:rPr>
          <w:rFonts w:asciiTheme="minorHAnsi" w:hAnsiTheme="minorHAnsi" w:cstheme="minorHAnsi"/>
          <w:sz w:val="22"/>
          <w:szCs w:val="22"/>
        </w:rPr>
        <w:t xml:space="preserve">.LT domenų: registravimas, galiojimo pratęsimas, parkavimas, DNS priegloba </w:t>
      </w:r>
      <w:r w:rsidR="002A5369" w:rsidRPr="00137615">
        <w:rPr>
          <w:rFonts w:asciiTheme="minorHAnsi" w:hAnsiTheme="minorHAnsi" w:cstheme="minorHAnsi"/>
          <w:sz w:val="22"/>
          <w:szCs w:val="22"/>
        </w:rPr>
        <w:t>P</w:t>
      </w:r>
      <w:r w:rsidRPr="00137615">
        <w:rPr>
          <w:rFonts w:asciiTheme="minorHAnsi" w:hAnsiTheme="minorHAnsi" w:cstheme="minorHAnsi"/>
          <w:sz w:val="22"/>
          <w:szCs w:val="22"/>
        </w:rPr>
        <w:t xml:space="preserve">aslaugos tiekėjo serveriuose, suteikiant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Perkančiajam subjektui </w:t>
      </w:r>
      <w:r w:rsidRPr="00137615">
        <w:rPr>
          <w:rFonts w:asciiTheme="minorHAnsi" w:hAnsiTheme="minorHAnsi" w:cstheme="minorHAnsi"/>
          <w:sz w:val="22"/>
          <w:szCs w:val="22"/>
        </w:rPr>
        <w:t>savarankiškai valdyti DNS įrašus.</w:t>
      </w:r>
    </w:p>
    <w:p w14:paraId="1D05E7D7" w14:textId="07C7CA97" w:rsidR="00A27807" w:rsidRPr="00137615" w:rsidRDefault="00CA3A6E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Gedimų šalinimo laikas – ne daugiau kaip 4 darbo valandos. </w:t>
      </w:r>
      <w:r w:rsidR="004A5769" w:rsidRPr="00137615">
        <w:rPr>
          <w:rFonts w:asciiTheme="minorHAnsi" w:hAnsiTheme="minorHAnsi" w:cstheme="minorHAnsi"/>
          <w:sz w:val="22"/>
          <w:szCs w:val="22"/>
        </w:rPr>
        <w:t xml:space="preserve">Pradžios laikas skaičiuojamas nuo pranešimo išsiuntimo elektroniniu paštu arba užregistravimo nurodytu paslaugų teikimo sutartyje telefonu momento. </w:t>
      </w:r>
      <w:r w:rsidRPr="00137615">
        <w:rPr>
          <w:rFonts w:asciiTheme="minorHAnsi" w:hAnsiTheme="minorHAnsi" w:cstheme="minorHAnsi"/>
          <w:sz w:val="22"/>
          <w:szCs w:val="22"/>
        </w:rPr>
        <w:t xml:space="preserve">Jei gedimui pašalinti reikia ilgesnio laiko, jį </w:t>
      </w:r>
      <w:r w:rsidR="004A5769" w:rsidRPr="00137615">
        <w:rPr>
          <w:rFonts w:asciiTheme="minorHAnsi" w:hAnsiTheme="minorHAnsi" w:cstheme="minorHAnsi"/>
          <w:sz w:val="22"/>
          <w:szCs w:val="22"/>
        </w:rPr>
        <w:t xml:space="preserve">reikia </w:t>
      </w:r>
      <w:r w:rsidRPr="00137615">
        <w:rPr>
          <w:rFonts w:asciiTheme="minorHAnsi" w:hAnsiTheme="minorHAnsi" w:cstheme="minorHAnsi"/>
          <w:sz w:val="22"/>
          <w:szCs w:val="22"/>
        </w:rPr>
        <w:t xml:space="preserve">suderinti su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Perkančiuoju subjektu </w:t>
      </w:r>
      <w:r w:rsidRPr="00137615">
        <w:rPr>
          <w:rFonts w:asciiTheme="minorHAnsi" w:hAnsiTheme="minorHAnsi" w:cstheme="minorHAnsi"/>
          <w:sz w:val="22"/>
          <w:szCs w:val="22"/>
        </w:rPr>
        <w:t>raštu.</w:t>
      </w:r>
    </w:p>
    <w:p w14:paraId="250AD237" w14:textId="2A425573" w:rsidR="005C67BC" w:rsidRPr="00137615" w:rsidRDefault="00A27807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Planiniai tinklo darbai gali būti atliekami įspėjus ne vėliau kaip prieš 15 kalendorinių dienų. Planiniai tinklo darbai negali trukti ilgiau kaip 4 darbo valandas.</w:t>
      </w:r>
    </w:p>
    <w:p w14:paraId="50367016" w14:textId="1D03A44F" w:rsidR="005C67BC" w:rsidRPr="00137615" w:rsidRDefault="005C67BC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Paslaugos tiekėjas savo kontrolės srityje privalo pastoviai sekti tinklo saugumą užtikrinančių sistemų darbą ir laiku įdiegti visus būtinus atnaujinimus.</w:t>
      </w:r>
      <w:r w:rsidR="00CE6912" w:rsidRPr="00137615">
        <w:rPr>
          <w:rFonts w:asciiTheme="minorHAnsi" w:hAnsiTheme="minorHAnsi" w:cstheme="minorHAnsi"/>
          <w:sz w:val="22"/>
          <w:szCs w:val="22"/>
        </w:rPr>
        <w:t xml:space="preserve"> </w:t>
      </w:r>
      <w:r w:rsidR="004A5769" w:rsidRPr="00137615">
        <w:rPr>
          <w:rFonts w:asciiTheme="minorHAnsi" w:hAnsiTheme="minorHAnsi" w:cstheme="minorHAnsi"/>
          <w:sz w:val="22"/>
          <w:szCs w:val="22"/>
        </w:rPr>
        <w:t>Paslaugos tiekėjas turi užtikrinti ryšio slaptumą pagal Lietuvos Respublikos teisės aktus.</w:t>
      </w:r>
    </w:p>
    <w:p w14:paraId="11D0943A" w14:textId="307F7085" w:rsidR="005C67BC" w:rsidRPr="00137615" w:rsidRDefault="005C67BC" w:rsidP="0037434E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 xml:space="preserve">Tinklo darbo sutrikimas yra paslaugos teikimo nutrūkimas, kuris įvyko ne dėl </w:t>
      </w:r>
      <w:r w:rsidR="002A5369" w:rsidRPr="00137615">
        <w:rPr>
          <w:rFonts w:asciiTheme="minorHAnsi" w:hAnsiTheme="minorHAnsi" w:cstheme="minorHAnsi"/>
          <w:sz w:val="22"/>
          <w:szCs w:val="22"/>
        </w:rPr>
        <w:t>Perkančiojo subjekto</w:t>
      </w:r>
      <w:r w:rsidRPr="00137615">
        <w:rPr>
          <w:rFonts w:asciiTheme="minorHAnsi" w:hAnsiTheme="minorHAnsi" w:cstheme="minorHAnsi"/>
          <w:sz w:val="22"/>
          <w:szCs w:val="22"/>
        </w:rPr>
        <w:t xml:space="preserve"> kaltės. Tinklo darbo sutrikimu nelaikomi atvejai formaliai atitinkantys aukščiau nurodytus tinklo darbo sutrikimo požymius, tačiau įvykę dėl pagal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Perkančiojo subjekto </w:t>
      </w:r>
      <w:r w:rsidRPr="00137615">
        <w:rPr>
          <w:rFonts w:asciiTheme="minorHAnsi" w:hAnsiTheme="minorHAnsi" w:cstheme="minorHAnsi"/>
          <w:sz w:val="22"/>
          <w:szCs w:val="22"/>
        </w:rPr>
        <w:t xml:space="preserve">ir </w:t>
      </w:r>
      <w:r w:rsidR="002A5369" w:rsidRPr="00137615">
        <w:rPr>
          <w:rFonts w:asciiTheme="minorHAnsi" w:hAnsiTheme="minorHAnsi" w:cstheme="minorHAnsi"/>
          <w:sz w:val="22"/>
          <w:szCs w:val="22"/>
        </w:rPr>
        <w:t>P</w:t>
      </w:r>
      <w:r w:rsidRPr="00137615">
        <w:rPr>
          <w:rFonts w:asciiTheme="minorHAnsi" w:hAnsiTheme="minorHAnsi" w:cstheme="minorHAnsi"/>
          <w:sz w:val="22"/>
          <w:szCs w:val="22"/>
        </w:rPr>
        <w:t xml:space="preserve">aslaugos tiekėjo tarpusavio susitarimą suderintų konfigūracijos pakeitimų, planinių tinklo remonto ar profilaktikos darbų, ir neviršiję suderintos </w:t>
      </w:r>
      <w:r w:rsidRPr="00137615">
        <w:rPr>
          <w:rFonts w:asciiTheme="minorHAnsi" w:hAnsiTheme="minorHAnsi" w:cstheme="minorHAnsi"/>
          <w:sz w:val="22"/>
          <w:szCs w:val="22"/>
        </w:rPr>
        <w:lastRenderedPageBreak/>
        <w:t xml:space="preserve">įtakos </w:t>
      </w:r>
      <w:r w:rsidR="002A5369" w:rsidRPr="00137615">
        <w:rPr>
          <w:rFonts w:asciiTheme="minorHAnsi" w:hAnsiTheme="minorHAnsi" w:cstheme="minorHAnsi"/>
          <w:sz w:val="22"/>
          <w:szCs w:val="22"/>
        </w:rPr>
        <w:t xml:space="preserve">Perkančiojo subjekto </w:t>
      </w:r>
      <w:r w:rsidRPr="00137615">
        <w:rPr>
          <w:rFonts w:asciiTheme="minorHAnsi" w:hAnsiTheme="minorHAnsi" w:cstheme="minorHAnsi"/>
          <w:sz w:val="22"/>
          <w:szCs w:val="22"/>
        </w:rPr>
        <w:t xml:space="preserve">gaunamoms paslaugoms bei įvykę suderintu laiku ir neviršiję suderintos trukmės. Nepertraukiamo elektros maitinimo užtikrinimas </w:t>
      </w:r>
      <w:r w:rsidR="002A5369" w:rsidRPr="00137615">
        <w:rPr>
          <w:rFonts w:asciiTheme="minorHAnsi" w:hAnsiTheme="minorHAnsi" w:cstheme="minorHAnsi"/>
          <w:sz w:val="22"/>
          <w:szCs w:val="22"/>
        </w:rPr>
        <w:t>Perkančiojo subjekto</w:t>
      </w:r>
      <w:r w:rsidRPr="00137615">
        <w:rPr>
          <w:rFonts w:asciiTheme="minorHAnsi" w:hAnsiTheme="minorHAnsi" w:cstheme="minorHAnsi"/>
          <w:sz w:val="22"/>
          <w:szCs w:val="22"/>
        </w:rPr>
        <w:t xml:space="preserve"> patalpose esančiai tiekėjo įrangai yra </w:t>
      </w:r>
      <w:r w:rsidR="002A5369" w:rsidRPr="00137615">
        <w:rPr>
          <w:rFonts w:asciiTheme="minorHAnsi" w:hAnsiTheme="minorHAnsi" w:cstheme="minorHAnsi"/>
          <w:sz w:val="22"/>
          <w:szCs w:val="22"/>
        </w:rPr>
        <w:t>Perkančiojo subjekto</w:t>
      </w:r>
      <w:r w:rsidRPr="00137615">
        <w:rPr>
          <w:rFonts w:asciiTheme="minorHAnsi" w:hAnsiTheme="minorHAnsi" w:cstheme="minorHAnsi"/>
          <w:sz w:val="22"/>
          <w:szCs w:val="22"/>
        </w:rPr>
        <w:t xml:space="preserve"> atsakomybėje.</w:t>
      </w:r>
    </w:p>
    <w:p w14:paraId="3DFD05C9" w14:textId="77777777" w:rsidR="00CA757E" w:rsidRPr="00137615" w:rsidRDefault="00CA757E" w:rsidP="00C82170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37615">
        <w:rPr>
          <w:rFonts w:asciiTheme="minorHAnsi" w:hAnsiTheme="minorHAnsi" w:cstheme="minorHAnsi"/>
          <w:sz w:val="22"/>
          <w:szCs w:val="22"/>
        </w:rPr>
        <w:t>Už paslaugas bus atsiskaitoma mokant fiksuotą mėnesinį įkainį. Į įkainį turi būti įskaičiuoti tiekiamas neribotas Interneto duomenų kiekis, visi techninėje specifikacijoje minimi reikalavimai ir įrangos laikinas suteikimas/nuoma, jos montavimo/išmontavimo darbai (jei reikės), medžiagos, darbai, išorini</w:t>
      </w:r>
      <w:r w:rsidR="00C253EF" w:rsidRPr="00137615">
        <w:rPr>
          <w:rFonts w:asciiTheme="minorHAnsi" w:hAnsiTheme="minorHAnsi" w:cstheme="minorHAnsi"/>
          <w:sz w:val="22"/>
          <w:szCs w:val="22"/>
        </w:rPr>
        <w:t>ų</w:t>
      </w:r>
      <w:r w:rsidRPr="00137615">
        <w:rPr>
          <w:rFonts w:asciiTheme="minorHAnsi" w:hAnsiTheme="minorHAnsi" w:cstheme="minorHAnsi"/>
          <w:sz w:val="22"/>
          <w:szCs w:val="22"/>
        </w:rPr>
        <w:t xml:space="preserve"> IP adres</w:t>
      </w:r>
      <w:r w:rsidR="00C253EF" w:rsidRPr="00137615">
        <w:rPr>
          <w:rFonts w:asciiTheme="minorHAnsi" w:hAnsiTheme="minorHAnsi" w:cstheme="minorHAnsi"/>
          <w:sz w:val="22"/>
          <w:szCs w:val="22"/>
        </w:rPr>
        <w:t>ų</w:t>
      </w:r>
      <w:r w:rsidRPr="00137615">
        <w:rPr>
          <w:rFonts w:asciiTheme="minorHAnsi" w:hAnsiTheme="minorHAnsi" w:cstheme="minorHAnsi"/>
          <w:sz w:val="22"/>
          <w:szCs w:val="22"/>
        </w:rPr>
        <w:t xml:space="preserve"> suteikimas.</w:t>
      </w:r>
    </w:p>
    <w:p w14:paraId="2ED3C909" w14:textId="77777777" w:rsidR="002B16D2" w:rsidRPr="00137615" w:rsidRDefault="002B16D2" w:rsidP="00C82170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2109AAB" w14:textId="754BD40B" w:rsidR="00BF1CDF" w:rsidRPr="00137615" w:rsidRDefault="00BF1CDF" w:rsidP="00C8217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BF1CDF" w:rsidRPr="00137615" w:rsidSect="00A47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74BD" w14:textId="77777777" w:rsidR="00A47C63" w:rsidRDefault="00A47C63">
      <w:r>
        <w:separator/>
      </w:r>
    </w:p>
  </w:endnote>
  <w:endnote w:type="continuationSeparator" w:id="0">
    <w:p w14:paraId="23F5E7D3" w14:textId="77777777" w:rsidR="00A47C63" w:rsidRDefault="00A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5F24" w14:textId="77777777" w:rsidR="00A67656" w:rsidRDefault="00A676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8126" w14:textId="77777777" w:rsidR="00A67656" w:rsidRDefault="00A6765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9F51" w14:textId="77777777" w:rsidR="00A67656" w:rsidRDefault="00A676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806D" w14:textId="77777777" w:rsidR="00A47C63" w:rsidRDefault="00A47C63">
      <w:r>
        <w:separator/>
      </w:r>
    </w:p>
  </w:footnote>
  <w:footnote w:type="continuationSeparator" w:id="0">
    <w:p w14:paraId="58A1AEE9" w14:textId="77777777" w:rsidR="00A47C63" w:rsidRDefault="00A4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F521" w14:textId="77777777" w:rsidR="00A67656" w:rsidRDefault="00A676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74B0" w14:textId="77777777" w:rsidR="002051E6" w:rsidRDefault="002051E6">
    <w:pPr>
      <w:pStyle w:val="Headerorfooter0"/>
      <w:framePr w:h="115" w:wrap="none" w:vAnchor="text" w:hAnchor="page" w:x="4058" w:y="1388"/>
      <w:shd w:val="clear" w:color="auto" w:fill="auto"/>
    </w:pPr>
  </w:p>
  <w:p w14:paraId="6CEC4ECA" w14:textId="77777777" w:rsidR="002051E6" w:rsidRDefault="002051E6">
    <w:pPr>
      <w:rPr>
        <w:rFonts w:cs="Times New Roman"/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7087" w14:textId="77777777" w:rsidR="00A67656" w:rsidRDefault="00A676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99388EFA"/>
    <w:lvl w:ilvl="0">
      <w:start w:val="1"/>
      <w:numFmt w:val="decimal"/>
      <w:lvlText w:val="3.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301039145">
    <w:abstractNumId w:val="0"/>
  </w:num>
  <w:num w:numId="2" w16cid:durableId="882905591">
    <w:abstractNumId w:val="1"/>
  </w:num>
  <w:num w:numId="3" w16cid:durableId="1202399023">
    <w:abstractNumId w:val="3"/>
  </w:num>
  <w:num w:numId="4" w16cid:durableId="879589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378C9"/>
    <w:rsid w:val="00061DBE"/>
    <w:rsid w:val="000A024C"/>
    <w:rsid w:val="000E5A4F"/>
    <w:rsid w:val="00137615"/>
    <w:rsid w:val="00151561"/>
    <w:rsid w:val="00195322"/>
    <w:rsid w:val="001F34CE"/>
    <w:rsid w:val="00204AA9"/>
    <w:rsid w:val="002051E6"/>
    <w:rsid w:val="00294569"/>
    <w:rsid w:val="002A5369"/>
    <w:rsid w:val="002A65B1"/>
    <w:rsid w:val="002B16D2"/>
    <w:rsid w:val="00314721"/>
    <w:rsid w:val="0037434E"/>
    <w:rsid w:val="0039268B"/>
    <w:rsid w:val="003C4415"/>
    <w:rsid w:val="00462979"/>
    <w:rsid w:val="004A5769"/>
    <w:rsid w:val="004E2FE4"/>
    <w:rsid w:val="00525346"/>
    <w:rsid w:val="00584F6E"/>
    <w:rsid w:val="005C1B7D"/>
    <w:rsid w:val="005C67BC"/>
    <w:rsid w:val="00644A59"/>
    <w:rsid w:val="006B0749"/>
    <w:rsid w:val="006C1AB5"/>
    <w:rsid w:val="00702E4E"/>
    <w:rsid w:val="008568EE"/>
    <w:rsid w:val="008E57F2"/>
    <w:rsid w:val="008F3311"/>
    <w:rsid w:val="009032F8"/>
    <w:rsid w:val="00931634"/>
    <w:rsid w:val="0094606D"/>
    <w:rsid w:val="0096580A"/>
    <w:rsid w:val="009767E7"/>
    <w:rsid w:val="009F508E"/>
    <w:rsid w:val="00A27807"/>
    <w:rsid w:val="00A47C63"/>
    <w:rsid w:val="00A6670F"/>
    <w:rsid w:val="00A67656"/>
    <w:rsid w:val="00A963ED"/>
    <w:rsid w:val="00B0486F"/>
    <w:rsid w:val="00BB29DE"/>
    <w:rsid w:val="00BF1CDF"/>
    <w:rsid w:val="00C14445"/>
    <w:rsid w:val="00C253EF"/>
    <w:rsid w:val="00C82170"/>
    <w:rsid w:val="00CA3A6E"/>
    <w:rsid w:val="00CA757E"/>
    <w:rsid w:val="00CC2ED6"/>
    <w:rsid w:val="00CE1259"/>
    <w:rsid w:val="00CE6912"/>
    <w:rsid w:val="00D322CA"/>
    <w:rsid w:val="00D3738E"/>
    <w:rsid w:val="00D80290"/>
    <w:rsid w:val="00D94A6D"/>
    <w:rsid w:val="00DA2BB7"/>
    <w:rsid w:val="00DD4F79"/>
    <w:rsid w:val="00E15716"/>
    <w:rsid w:val="00E775E0"/>
    <w:rsid w:val="00E92471"/>
    <w:rsid w:val="00EA210B"/>
    <w:rsid w:val="00EA3469"/>
    <w:rsid w:val="00EE6551"/>
    <w:rsid w:val="00F003EC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670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prastasis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prastasis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prastasis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prastasis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prastasis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prastasis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Lentelstinklelis">
    <w:name w:val="Table Grid"/>
    <w:basedOn w:val="prastojilente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B16D2"/>
    <w:rPr>
      <w:color w:val="0563C1"/>
      <w:u w:val="single"/>
    </w:rPr>
  </w:style>
  <w:style w:type="character" w:styleId="Grietas">
    <w:name w:val="Strong"/>
    <w:basedOn w:val="Numatytasispastraiposriftas"/>
    <w:uiPriority w:val="22"/>
    <w:qFormat/>
    <w:rsid w:val="00702E4E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03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3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4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4BD7-F9FF-4242-9EAB-E0820842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Simona Lebednykienė</cp:lastModifiedBy>
  <cp:revision>9</cp:revision>
  <dcterms:created xsi:type="dcterms:W3CDTF">2021-04-12T08:31:00Z</dcterms:created>
  <dcterms:modified xsi:type="dcterms:W3CDTF">2024-06-04T05:33:00Z</dcterms:modified>
</cp:coreProperties>
</file>