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53" w:rsidRPr="00685EEC" w:rsidRDefault="003E7D53" w:rsidP="003E7D53">
      <w:pPr>
        <w:pStyle w:val="Default"/>
        <w:spacing w:line="276" w:lineRule="auto"/>
        <w:ind w:left="5387" w:right="-1" w:hanging="284"/>
        <w:jc w:val="both"/>
      </w:pPr>
      <w:r w:rsidRPr="00685EEC">
        <w:t xml:space="preserve">2021 m.                 d. </w:t>
      </w:r>
      <w:r>
        <w:t>prekių</w:t>
      </w:r>
    </w:p>
    <w:p w:rsidR="003E7D53" w:rsidRPr="00685EEC" w:rsidRDefault="003E7D53" w:rsidP="003E7D53">
      <w:pPr>
        <w:pStyle w:val="Default"/>
        <w:spacing w:line="276" w:lineRule="auto"/>
        <w:ind w:left="5103" w:right="-1"/>
        <w:jc w:val="both"/>
      </w:pPr>
      <w:r w:rsidRPr="00685EEC">
        <w:t>viešojo pirkimo-pardavimo sutarties Nr.</w:t>
      </w:r>
    </w:p>
    <w:p w:rsidR="003E7D53" w:rsidRPr="00685EEC" w:rsidRDefault="006A5D2C" w:rsidP="003E7D53">
      <w:pPr>
        <w:pStyle w:val="Default"/>
        <w:spacing w:line="276" w:lineRule="auto"/>
        <w:ind w:left="5387" w:right="3259" w:hanging="284"/>
        <w:jc w:val="both"/>
      </w:pPr>
      <w:r>
        <w:t xml:space="preserve">1 </w:t>
      </w:r>
      <w:r w:rsidR="003E7D53" w:rsidRPr="00685EEC">
        <w:t>priedas</w:t>
      </w:r>
    </w:p>
    <w:p w:rsidR="003E7D53" w:rsidRDefault="003E7D53" w:rsidP="0020686D">
      <w:pPr>
        <w:spacing w:after="0" w:line="240" w:lineRule="auto"/>
        <w:jc w:val="center"/>
        <w:rPr>
          <w:rFonts w:ascii="Times New Roman" w:hAnsi="Times New Roman" w:cs="Times New Roman"/>
          <w:b/>
          <w:sz w:val="24"/>
          <w:szCs w:val="24"/>
        </w:rPr>
      </w:pPr>
    </w:p>
    <w:p w:rsidR="0020686D" w:rsidRPr="0020686D" w:rsidRDefault="0020686D" w:rsidP="0020686D">
      <w:pPr>
        <w:spacing w:after="0" w:line="240" w:lineRule="auto"/>
        <w:jc w:val="center"/>
        <w:rPr>
          <w:rFonts w:ascii="Times New Roman" w:hAnsi="Times New Roman" w:cs="Times New Roman"/>
          <w:b/>
          <w:sz w:val="24"/>
          <w:szCs w:val="24"/>
        </w:rPr>
      </w:pPr>
      <w:r w:rsidRPr="0020686D">
        <w:rPr>
          <w:rFonts w:ascii="Times New Roman" w:hAnsi="Times New Roman" w:cs="Times New Roman"/>
          <w:b/>
          <w:noProof/>
          <w:sz w:val="24"/>
          <w:szCs w:val="24"/>
          <w:lang w:val="en-US"/>
        </w:rPr>
        <w:drawing>
          <wp:inline distT="0" distB="0" distL="0" distR="0" wp14:anchorId="1D12FA21" wp14:editId="7C128FBD">
            <wp:extent cx="2030095" cy="871855"/>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p>
    <w:p w:rsidR="0020686D" w:rsidRPr="0020686D" w:rsidRDefault="0020686D" w:rsidP="0020686D">
      <w:pPr>
        <w:pStyle w:val="Skyriauspavadinimas"/>
        <w:numPr>
          <w:ilvl w:val="0"/>
          <w:numId w:val="0"/>
        </w:numPr>
        <w:rPr>
          <w:rFonts w:ascii="Times New Roman" w:hAnsi="Times New Roman"/>
          <w:caps w:val="0"/>
          <w:lang w:val="lt-LT"/>
        </w:rPr>
      </w:pPr>
    </w:p>
    <w:p w:rsidR="003E7D53" w:rsidRDefault="003E7D53" w:rsidP="0020686D">
      <w:pPr>
        <w:pStyle w:val="Skyriauspavadinimas"/>
        <w:numPr>
          <w:ilvl w:val="0"/>
          <w:numId w:val="0"/>
        </w:numPr>
        <w:rPr>
          <w:rFonts w:ascii="Times New Roman" w:hAnsi="Times New Roman"/>
          <w:caps w:val="0"/>
          <w:lang w:val="lt-LT"/>
        </w:rPr>
      </w:pPr>
      <w:r>
        <w:rPr>
          <w:rFonts w:ascii="Times New Roman" w:hAnsi="Times New Roman"/>
          <w:caps w:val="0"/>
          <w:lang w:val="lt-LT"/>
        </w:rPr>
        <w:t>TECHNINĖ SPECIFIKACIJA</w:t>
      </w:r>
    </w:p>
    <w:p w:rsidR="003E7D53" w:rsidRDefault="003E7D53" w:rsidP="0020686D">
      <w:pPr>
        <w:pStyle w:val="Skyriauspavadinimas"/>
        <w:numPr>
          <w:ilvl w:val="0"/>
          <w:numId w:val="0"/>
        </w:numPr>
        <w:rPr>
          <w:rFonts w:ascii="Times New Roman" w:hAnsi="Times New Roman"/>
          <w:caps w:val="0"/>
          <w:lang w:val="lt-LT"/>
        </w:rPr>
      </w:pPr>
    </w:p>
    <w:p w:rsidR="0020686D" w:rsidRPr="0020686D" w:rsidRDefault="0020686D" w:rsidP="0020686D">
      <w:pPr>
        <w:pStyle w:val="Skyriauspavadinimas"/>
        <w:numPr>
          <w:ilvl w:val="0"/>
          <w:numId w:val="0"/>
        </w:numPr>
        <w:rPr>
          <w:rFonts w:ascii="Times New Roman" w:hAnsi="Times New Roman"/>
          <w:lang w:val="lt-LT"/>
        </w:rPr>
      </w:pPr>
      <w:r w:rsidRPr="0020686D">
        <w:rPr>
          <w:rFonts w:ascii="Times New Roman" w:hAnsi="Times New Roman"/>
          <w:caps w:val="0"/>
          <w:lang w:val="lt-LT"/>
        </w:rPr>
        <w:t>I.</w:t>
      </w:r>
      <w:r w:rsidRPr="0020686D">
        <w:rPr>
          <w:rFonts w:ascii="Times New Roman" w:hAnsi="Times New Roman"/>
          <w:lang w:val="lt-LT"/>
        </w:rPr>
        <w:t xml:space="preserve"> BENDROSIOS NUOSTATOS</w:t>
      </w:r>
    </w:p>
    <w:p w:rsidR="0020686D" w:rsidRPr="0020686D" w:rsidRDefault="0020686D" w:rsidP="0020686D">
      <w:pPr>
        <w:tabs>
          <w:tab w:val="left" w:pos="1335"/>
          <w:tab w:val="center" w:pos="5174"/>
        </w:tabs>
        <w:spacing w:after="0" w:line="240" w:lineRule="auto"/>
        <w:jc w:val="left"/>
        <w:rPr>
          <w:rFonts w:ascii="Times New Roman" w:hAnsi="Times New Roman" w:cs="Times New Roman"/>
          <w:i/>
          <w:sz w:val="24"/>
          <w:szCs w:val="24"/>
        </w:rPr>
      </w:pPr>
    </w:p>
    <w:p w:rsidR="0020686D" w:rsidRPr="0020686D" w:rsidRDefault="0020686D" w:rsidP="0020686D">
      <w:pPr>
        <w:pStyle w:val="Style4"/>
        <w:ind w:firstLine="567"/>
        <w:rPr>
          <w:lang w:val="lt-LT"/>
        </w:rPr>
      </w:pPr>
      <w:r w:rsidRPr="0020686D">
        <w:rPr>
          <w:lang w:val="lt-LT"/>
        </w:rPr>
        <w:t>1.1. Informatikos ir ryšių departamentas prie Lietuvos Respublikos vidaus reikalų ministerijos (Šventaragio g. 2, LT-01510 Vilnius, įstaigos kodas 188774822) (toliau – perkančioji organizacija arba Pirkėjas) perka techninę įrangą, skirtą nacionalinių informacinių sistemų integravimui ir suderinamumui su Europos kelionių informacijos ir leidimų sistemos (toliau – ET</w:t>
      </w:r>
      <w:bookmarkStart w:id="0" w:name="_GoBack"/>
      <w:bookmarkEnd w:id="0"/>
      <w:r w:rsidRPr="0020686D">
        <w:rPr>
          <w:lang w:val="lt-LT"/>
        </w:rPr>
        <w:t xml:space="preserve">IAS) centrine sistema (toliau – CS) (toliau – prekės). </w:t>
      </w:r>
    </w:p>
    <w:p w:rsidR="0020686D" w:rsidRPr="0020686D" w:rsidRDefault="0020686D" w:rsidP="0020686D">
      <w:pPr>
        <w:pStyle w:val="Style4"/>
        <w:ind w:firstLine="567"/>
        <w:rPr>
          <w:lang w:val="lt-LT"/>
        </w:rPr>
      </w:pPr>
      <w:r w:rsidRPr="0020686D">
        <w:rPr>
          <w:lang w:val="lt-LT"/>
        </w:rPr>
        <w:t>1.2. Pirkimas finansuojamas pr</w:t>
      </w:r>
      <w:r w:rsidRPr="0020686D">
        <w:rPr>
          <w:lang w:val="lt-LT" w:eastAsia="lt-LT"/>
        </w:rPr>
        <w:t xml:space="preserve">ojekto </w:t>
      </w:r>
      <w:r w:rsidRPr="0020686D">
        <w:rPr>
          <w:bCs/>
          <w:iCs/>
          <w:lang w:val="lt-LT" w:eastAsia="lt-LT"/>
        </w:rPr>
        <w:t>LT/2020/VSF/2.4.6.1 „</w:t>
      </w:r>
      <w:r w:rsidRPr="0020686D">
        <w:rPr>
          <w:lang w:val="lt-LT"/>
        </w:rPr>
        <w:t>Europos kelionių informacijos ir leidimų sistemos sukūrimas ir įgyvendinimas“ (toliau – projektas)</w:t>
      </w:r>
      <w:r w:rsidRPr="0020686D">
        <w:rPr>
          <w:bCs/>
          <w:iCs/>
          <w:lang w:val="lt-LT" w:eastAsia="lt-LT"/>
        </w:rPr>
        <w:t xml:space="preserve"> lėšomis.</w:t>
      </w:r>
    </w:p>
    <w:p w:rsidR="0020686D" w:rsidRPr="0020686D" w:rsidRDefault="0020686D" w:rsidP="0020686D">
      <w:pPr>
        <w:pStyle w:val="Style4"/>
        <w:jc w:val="center"/>
        <w:rPr>
          <w:bCs/>
          <w:iCs/>
          <w:lang w:val="lt-LT" w:eastAsia="lt-LT"/>
        </w:rPr>
      </w:pPr>
    </w:p>
    <w:p w:rsidR="0020686D" w:rsidRPr="0020686D" w:rsidRDefault="0020686D" w:rsidP="0020686D">
      <w:pPr>
        <w:pStyle w:val="Skyriauspavadinimas"/>
        <w:numPr>
          <w:ilvl w:val="0"/>
          <w:numId w:val="0"/>
        </w:numPr>
        <w:rPr>
          <w:rFonts w:ascii="Times New Roman" w:hAnsi="Times New Roman"/>
          <w:lang w:val="lt-LT"/>
        </w:rPr>
      </w:pPr>
      <w:r w:rsidRPr="0020686D">
        <w:rPr>
          <w:rFonts w:ascii="Times New Roman" w:hAnsi="Times New Roman"/>
          <w:bCs/>
          <w:iCs/>
          <w:lang w:val="lt-LT" w:eastAsia="lt-LT"/>
        </w:rPr>
        <w:t>II.</w:t>
      </w:r>
      <w:r w:rsidRPr="0020686D">
        <w:rPr>
          <w:rFonts w:ascii="Times New Roman" w:hAnsi="Times New Roman"/>
        </w:rPr>
        <w:t xml:space="preserve"> </w:t>
      </w:r>
      <w:r w:rsidRPr="0020686D">
        <w:rPr>
          <w:rFonts w:ascii="Times New Roman" w:hAnsi="Times New Roman"/>
          <w:lang w:val="lt-LT"/>
        </w:rPr>
        <w:t>BENDRA INFORMACIJA APIE PROJEKTĄ</w:t>
      </w:r>
    </w:p>
    <w:p w:rsidR="0020686D" w:rsidRPr="0020686D" w:rsidRDefault="0020686D" w:rsidP="0020686D">
      <w:pPr>
        <w:pStyle w:val="Skyriauspavadinimas"/>
        <w:numPr>
          <w:ilvl w:val="0"/>
          <w:numId w:val="0"/>
        </w:numPr>
        <w:rPr>
          <w:rFonts w:ascii="Times New Roman" w:hAnsi="Times New Roman"/>
          <w:b w:val="0"/>
        </w:rPr>
      </w:pPr>
    </w:p>
    <w:p w:rsidR="0020686D" w:rsidRPr="0020686D" w:rsidRDefault="0020686D" w:rsidP="0020686D">
      <w:pPr>
        <w:pStyle w:val="Style4"/>
        <w:ind w:firstLine="567"/>
        <w:rPr>
          <w:bCs/>
          <w:iCs/>
          <w:lang w:val="lt-LT" w:eastAsia="lt-LT"/>
        </w:rPr>
      </w:pPr>
      <w:r w:rsidRPr="0020686D">
        <w:rPr>
          <w:bCs/>
          <w:iCs/>
          <w:lang w:val="lt-LT" w:eastAsia="lt-LT"/>
        </w:rPr>
        <w:t>2.1. Perkančioji organizacija yra projekto LT/2020/VSF/2.4.6.1„Europos kelionių informacijos ir leidimų sistemos sukūrimas ir įgyvendinimas“ partneris, kurį vykdo Valstybės sienos apsaugos tarnyba prie Lietuvos Respublikos vidaus reikalų ministerijos (toliau – VSAT).</w:t>
      </w:r>
    </w:p>
    <w:p w:rsidR="0020686D" w:rsidRPr="0020686D" w:rsidRDefault="0020686D" w:rsidP="0020686D">
      <w:pPr>
        <w:pStyle w:val="Style4"/>
        <w:ind w:firstLine="567"/>
        <w:rPr>
          <w:bCs/>
          <w:iCs/>
          <w:lang w:val="lt-LT" w:eastAsia="lt-LT"/>
        </w:rPr>
      </w:pPr>
      <w:r w:rsidRPr="0020686D">
        <w:rPr>
          <w:bCs/>
          <w:iCs/>
          <w:lang w:val="lt-LT" w:eastAsia="lt-LT"/>
        </w:rPr>
        <w:t>2.2. Projekto tikslas – įsteigti nacionalinį ETIAS padalinį ir sukurti infrastuktūrą, kuri nacionaliniu lygiu užtikrintų vieningos Europos kelionių informacijos ir leidimų sistemos (toliau – ETIAS) darbą ir integralumą su nacionalinėmis informacinėmis sistemomis. ETIAS reikalinga tam, kad trečiųjų šalių piliečiai, kuriems netaikomas vizos reikalavimas, galėtų elektroniniu būdu pateikti prašymą atvykti į Europos Sąjungą ir, jį išnagrinėjus, elektroniniu būdu gautų kelionės leidimą. Teisė gauti kelionės leidimą nėra besąlygiška, nes ja gali būti neleista pasinaudoti asmenims, kurie kelia riziką viešajai tvarkai, visuomenės saugumui ar visuomenės sveikatai. Tai turėtų padėti supaprastinti patikrinimus kertant sieną ir užtikrinti trečiųjų šalių piliečių pasienio patikros suderinamumą ir vienodumą Europos Sąjungos mastu. Taip pat ETIAS padės įgyvendinti Šengeno informacinės sistemos (SIS) tikslus, susijusius su perspėjimais apie trečiųjų šalių piliečius, kuriems atsisakyta leisti atvykti ir pasilikti, apie asmenis, ieškomus siekiant juos suimti arba perdavimo ar ekstradicijos tikslais, apie dingusius asmenis, apie asmenis, kurie ieškomi kaip galintys padėti teisminiam procesui ir apie asmenis dėl atsargių patikrinimų arba konkrečių patikrinimų.</w:t>
      </w:r>
    </w:p>
    <w:p w:rsidR="0020686D" w:rsidRPr="0020686D" w:rsidRDefault="0020686D" w:rsidP="0020686D">
      <w:pPr>
        <w:pStyle w:val="Style4"/>
        <w:ind w:firstLine="567"/>
        <w:rPr>
          <w:bCs/>
          <w:iCs/>
          <w:lang w:val="lt-LT" w:eastAsia="lt-LT"/>
        </w:rPr>
      </w:pPr>
    </w:p>
    <w:p w:rsidR="0020686D" w:rsidRPr="0020686D" w:rsidRDefault="0020686D" w:rsidP="0020686D">
      <w:pPr>
        <w:pStyle w:val="Skyriauspavadinimas"/>
        <w:numPr>
          <w:ilvl w:val="0"/>
          <w:numId w:val="0"/>
        </w:numPr>
        <w:rPr>
          <w:rFonts w:ascii="Times New Roman" w:hAnsi="Times New Roman"/>
          <w:lang w:eastAsia="lt-LT"/>
        </w:rPr>
      </w:pPr>
      <w:r w:rsidRPr="0020686D">
        <w:rPr>
          <w:rFonts w:ascii="Times New Roman" w:hAnsi="Times New Roman"/>
          <w:bCs/>
          <w:iCs/>
          <w:lang w:val="lt-LT" w:eastAsia="lt-LT"/>
        </w:rPr>
        <w:t>III.</w:t>
      </w:r>
      <w:r w:rsidRPr="0020686D">
        <w:rPr>
          <w:rFonts w:ascii="Times New Roman" w:hAnsi="Times New Roman"/>
          <w:lang w:eastAsia="lt-LT"/>
        </w:rPr>
        <w:t xml:space="preserve"> PIRKIMO OBJEKTAS</w:t>
      </w:r>
    </w:p>
    <w:p w:rsidR="0020686D" w:rsidRPr="0020686D" w:rsidRDefault="0020686D" w:rsidP="0020686D">
      <w:pPr>
        <w:pStyle w:val="Style4"/>
        <w:ind w:left="567"/>
        <w:rPr>
          <w:bCs/>
          <w:iCs/>
          <w:lang w:val="lt-LT" w:eastAsia="lt-LT"/>
        </w:rPr>
      </w:pPr>
    </w:p>
    <w:p w:rsidR="0020686D" w:rsidRPr="0020686D" w:rsidRDefault="0020686D" w:rsidP="0020686D">
      <w:pPr>
        <w:pStyle w:val="Style4"/>
        <w:ind w:left="567"/>
        <w:rPr>
          <w:i/>
          <w:lang w:val="lt-LT"/>
        </w:rPr>
      </w:pPr>
      <w:r w:rsidRPr="0020686D">
        <w:rPr>
          <w:lang w:val="lt-LT"/>
        </w:rPr>
        <w:t>3.1. Pirkimo objektą sudaro:</w:t>
      </w:r>
    </w:p>
    <w:p w:rsidR="0020686D" w:rsidRPr="0020686D" w:rsidRDefault="0020686D" w:rsidP="0020686D">
      <w:pPr>
        <w:pStyle w:val="Style4"/>
        <w:ind w:left="567"/>
        <w:rPr>
          <w:lang w:val="lt-LT"/>
        </w:rPr>
      </w:pPr>
      <w:r w:rsidRPr="0020686D">
        <w:rPr>
          <w:lang w:val="lt-LT"/>
        </w:rPr>
        <w:t xml:space="preserve">3.1.1. </w:t>
      </w:r>
      <w:r w:rsidRPr="0020686D">
        <w:rPr>
          <w:b/>
          <w:lang w:val="lt-LT"/>
        </w:rPr>
        <w:t>Pirma pirkimo objekto dalis</w:t>
      </w:r>
      <w:r w:rsidRPr="0020686D">
        <w:rPr>
          <w:lang w:val="lt-LT"/>
        </w:rPr>
        <w:t xml:space="preserve"> – „Tarnybinių stočių talpykla (2 vnt.) ir tarnybinės stotys (6 vnt.)“:</w:t>
      </w:r>
    </w:p>
    <w:p w:rsidR="0020686D" w:rsidRPr="0020686D" w:rsidRDefault="0020686D" w:rsidP="0020686D">
      <w:pPr>
        <w:pStyle w:val="Style4"/>
        <w:ind w:left="567"/>
        <w:rPr>
          <w:lang w:val="lt-LT"/>
        </w:rPr>
      </w:pPr>
      <w:r w:rsidRPr="0020686D">
        <w:rPr>
          <w:lang w:val="lt-LT"/>
        </w:rPr>
        <w:t>3.1.1.1. Tarnybinių stočių talpykla – 2 vnt.;</w:t>
      </w:r>
    </w:p>
    <w:p w:rsidR="0020686D" w:rsidRPr="0020686D" w:rsidRDefault="0020686D" w:rsidP="0020686D">
      <w:pPr>
        <w:pStyle w:val="Style4"/>
        <w:ind w:left="567"/>
        <w:rPr>
          <w:lang w:val="lt-LT"/>
        </w:rPr>
      </w:pPr>
      <w:r w:rsidRPr="0020686D">
        <w:rPr>
          <w:lang w:val="lt-LT"/>
        </w:rPr>
        <w:t xml:space="preserve">3.1.1.2. Duomenų bazių tarnybinė stotis – 2 vnt.; </w:t>
      </w:r>
    </w:p>
    <w:p w:rsidR="0020686D" w:rsidRPr="0020686D" w:rsidRDefault="0020686D" w:rsidP="0020686D">
      <w:pPr>
        <w:pStyle w:val="Style4"/>
        <w:ind w:left="567"/>
        <w:rPr>
          <w:lang w:val="lt-LT"/>
        </w:rPr>
      </w:pPr>
      <w:r w:rsidRPr="0020686D">
        <w:rPr>
          <w:lang w:val="lt-LT"/>
        </w:rPr>
        <w:t>3.1.1.3. Aplikacijų tarnybinė stotis – 2 vnt.;</w:t>
      </w:r>
    </w:p>
    <w:p w:rsidR="0020686D" w:rsidRPr="0020686D" w:rsidRDefault="0020686D" w:rsidP="0020686D">
      <w:pPr>
        <w:pStyle w:val="Style4"/>
        <w:ind w:left="567"/>
        <w:rPr>
          <w:lang w:val="lt-LT"/>
        </w:rPr>
      </w:pPr>
      <w:r w:rsidRPr="0020686D">
        <w:rPr>
          <w:lang w:val="lt-LT"/>
        </w:rPr>
        <w:t>3.1.1.4. Auditavimo, administravimo, mainų platformos tarnybinės stotys – 2 vnt.</w:t>
      </w:r>
    </w:p>
    <w:p w:rsidR="0020686D" w:rsidRPr="0020686D" w:rsidRDefault="0020686D" w:rsidP="0020686D">
      <w:pPr>
        <w:pStyle w:val="Style4"/>
        <w:ind w:firstLine="567"/>
        <w:rPr>
          <w:lang w:val="lt-LT"/>
        </w:rPr>
      </w:pPr>
      <w:r w:rsidRPr="0020686D">
        <w:rPr>
          <w:lang w:val="lt-LT"/>
        </w:rPr>
        <w:t xml:space="preserve">3.2. Pirkimo objektui apibūdinti galimai nurodyti konkretūs techniniai parametrai, technologijos, procesai, gamintojai ar prekės ženklai, standartai, tipai yra tik informacinio pobūdžio. </w:t>
      </w:r>
      <w:r w:rsidRPr="0020686D">
        <w:rPr>
          <w:lang w:val="lt-LT"/>
        </w:rPr>
        <w:lastRenderedPageBreak/>
        <w:t>Pardavėjas gali siūlyti ir lygiaverčius produktus, tačiau siūlomų analogiškų arba lygiaverčių produktų parametrai negali būti prastesni nei reikalaujami. Siūlomų „lygiaverčių“ prekių lygiavertiškumą turi įrodyti Pardavėjas.</w:t>
      </w:r>
    </w:p>
    <w:p w:rsidR="0020686D" w:rsidRPr="0020686D" w:rsidRDefault="0020686D" w:rsidP="0020686D">
      <w:pPr>
        <w:spacing w:after="0" w:line="240" w:lineRule="auto"/>
        <w:ind w:firstLine="567"/>
        <w:rPr>
          <w:rFonts w:ascii="Times New Roman" w:hAnsi="Times New Roman" w:cs="Times New Roman"/>
          <w:sz w:val="24"/>
          <w:szCs w:val="24"/>
        </w:rPr>
      </w:pPr>
      <w:r w:rsidRPr="0020686D">
        <w:rPr>
          <w:rFonts w:ascii="Times New Roman" w:hAnsi="Times New Roman" w:cs="Times New Roman"/>
          <w:sz w:val="24"/>
          <w:szCs w:val="24"/>
        </w:rPr>
        <w:t>3.3. Prekės turi būti pristatytos ir įdiegtos per 12 (dvylika) savaičių nuo Sutarties įsigaliojimo dienos (iš anksto suderinus konkrečią prekių įdiegimo datą ir laiką su perkančiąja organizacija). Taikoma visos pirkimo objekto dalims.</w:t>
      </w:r>
    </w:p>
    <w:p w:rsidR="0020686D" w:rsidRPr="0020686D" w:rsidRDefault="0020686D" w:rsidP="0020686D">
      <w:pPr>
        <w:spacing w:after="0" w:line="240" w:lineRule="auto"/>
        <w:ind w:firstLine="567"/>
        <w:rPr>
          <w:rFonts w:ascii="Times New Roman" w:hAnsi="Times New Roman" w:cs="Times New Roman"/>
          <w:sz w:val="24"/>
          <w:szCs w:val="24"/>
        </w:rPr>
      </w:pPr>
      <w:r w:rsidRPr="0020686D">
        <w:rPr>
          <w:rFonts w:ascii="Times New Roman" w:hAnsi="Times New Roman" w:cs="Times New Roman"/>
          <w:sz w:val="24"/>
          <w:szCs w:val="24"/>
        </w:rPr>
        <w:t>3.4. Prekių pristatymas: pirmos pirkimo objekto dalies tarnybinių stočių talpyklą (1 vnt.), tarnybinės stotys (3 vnt.), turi būti pristatytos adresu: Šventaragio g. 2, Vilnius, Lietuva; pirmos pirkimo objekto dalies tarnybinių stočių talpykla (1 vnt.), tarnybinės stotys (3 vnt.), turi būti pristatytos adresu: Žirmūnų g. 1D, Vilnius, Lietuva.</w:t>
      </w:r>
    </w:p>
    <w:p w:rsidR="0020686D" w:rsidRPr="0020686D" w:rsidRDefault="0020686D" w:rsidP="0020686D">
      <w:pPr>
        <w:spacing w:after="0" w:line="240" w:lineRule="auto"/>
        <w:ind w:left="-709"/>
        <w:jc w:val="center"/>
        <w:rPr>
          <w:rFonts w:ascii="Times New Roman" w:hAnsi="Times New Roman" w:cs="Times New Roman"/>
          <w:b/>
          <w:sz w:val="24"/>
          <w:szCs w:val="24"/>
        </w:rPr>
      </w:pPr>
    </w:p>
    <w:p w:rsidR="0020686D" w:rsidRPr="0020686D" w:rsidRDefault="0020686D" w:rsidP="0020686D">
      <w:pPr>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 xml:space="preserve">IV. PIRMA PIRKIMO OBJEKTO DALIS </w:t>
      </w:r>
    </w:p>
    <w:p w:rsidR="0020686D" w:rsidRPr="0020686D" w:rsidRDefault="0020686D" w:rsidP="0020686D">
      <w:pPr>
        <w:spacing w:after="0" w:line="240" w:lineRule="auto"/>
        <w:ind w:left="-709"/>
        <w:jc w:val="center"/>
        <w:rPr>
          <w:rFonts w:ascii="Times New Roman" w:hAnsi="Times New Roman" w:cs="Times New Roman"/>
          <w:b/>
          <w:sz w:val="24"/>
          <w:szCs w:val="24"/>
        </w:rPr>
      </w:pPr>
    </w:p>
    <w:p w:rsidR="0020686D" w:rsidRPr="0020686D" w:rsidRDefault="0020686D" w:rsidP="0020686D">
      <w:pPr>
        <w:spacing w:after="0" w:line="240" w:lineRule="auto"/>
        <w:ind w:firstLine="567"/>
        <w:rPr>
          <w:rFonts w:ascii="Times New Roman" w:hAnsi="Times New Roman" w:cs="Times New Roman"/>
          <w:sz w:val="24"/>
          <w:szCs w:val="24"/>
        </w:rPr>
      </w:pPr>
      <w:r w:rsidRPr="0020686D">
        <w:rPr>
          <w:rFonts w:ascii="Times New Roman" w:hAnsi="Times New Roman" w:cs="Times New Roman"/>
          <w:sz w:val="24"/>
          <w:szCs w:val="24"/>
        </w:rPr>
        <w:t>4.1. „Tarnybinių stočių talpykla (2 vnt.) ir tarnybinės stotys (6 vnt.)“:</w:t>
      </w:r>
    </w:p>
    <w:p w:rsidR="0020686D" w:rsidRPr="0020686D" w:rsidRDefault="0020686D" w:rsidP="0020686D">
      <w:pPr>
        <w:spacing w:after="0" w:line="240" w:lineRule="auto"/>
        <w:ind w:firstLine="567"/>
        <w:rPr>
          <w:rFonts w:ascii="Times New Roman" w:hAnsi="Times New Roman" w:cs="Times New Roman"/>
          <w:sz w:val="24"/>
          <w:szCs w:val="24"/>
        </w:rPr>
      </w:pPr>
      <w:r w:rsidRPr="0020686D">
        <w:rPr>
          <w:rFonts w:ascii="Times New Roman" w:hAnsi="Times New Roman" w:cs="Times New Roman"/>
          <w:sz w:val="24"/>
          <w:szCs w:val="24"/>
        </w:rPr>
        <w:t>4.1.1. Tarnybinių stočių talpykla – 2 vnt.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43"/>
        <w:gridCol w:w="6520"/>
      </w:tblGrid>
      <w:tr w:rsidR="0020686D" w:rsidRPr="0020686D" w:rsidTr="0020686D">
        <w:trPr>
          <w:tblHeader/>
        </w:trPr>
        <w:tc>
          <w:tcPr>
            <w:tcW w:w="571"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Eil. Nr.</w:t>
            </w:r>
          </w:p>
        </w:tc>
        <w:tc>
          <w:tcPr>
            <w:tcW w:w="2543"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Parametras</w:t>
            </w:r>
          </w:p>
        </w:tc>
        <w:tc>
          <w:tcPr>
            <w:tcW w:w="6520"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Minimalūs reikalavimai</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Gamintojas, modelis</w:t>
            </w:r>
          </w:p>
        </w:tc>
        <w:tc>
          <w:tcPr>
            <w:tcW w:w="6520"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Nurodo Pardavėjas</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20686D">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Pardavėjas turi būti siūlomos įrangos gamintojas arba būti įgaliotas gamintojo atstovas arba turi būti sudaręs atitinkamą Sutartį su kitu ūkio subjektu, turinčiu teisę parduoti, prižiūrėti ir remontuoti siūlomą techninę įrangą.</w:t>
            </w:r>
          </w:p>
        </w:tc>
        <w:tc>
          <w:tcPr>
            <w:tcW w:w="6520" w:type="dxa"/>
            <w:shd w:val="clear" w:color="auto" w:fill="auto"/>
          </w:tcPr>
          <w:p w:rsidR="0020686D" w:rsidRPr="0020686D" w:rsidRDefault="0020686D" w:rsidP="0020686D">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Dokumentas, patvirtinantis, kad Pardavėjas yra siūlomos įrangos gamintojas (pateikiama Pardavėjo pažyma) ar įgaliotas siūlomos įrangos gamintojo atstovas (pateikiami oficialų atstovavimą patvirtinantys dokumentai), arba turi būti sudaręs atitinkamą Sutartį su kitu ūkio subjektu, turinčiu teisę parduoti, prižiūrėti ir remontuoti siūlomą techninę įrangą</w:t>
            </w:r>
            <w:r w:rsidRPr="0020686D" w:rsidDel="00FB6CB3">
              <w:rPr>
                <w:rFonts w:ascii="Times New Roman" w:hAnsi="Times New Roman" w:cs="Times New Roman"/>
                <w:sz w:val="24"/>
                <w:szCs w:val="24"/>
              </w:rPr>
              <w:t xml:space="preserve"> </w:t>
            </w:r>
            <w:r w:rsidRPr="0020686D">
              <w:rPr>
                <w:rFonts w:ascii="Times New Roman" w:hAnsi="Times New Roman" w:cs="Times New Roman"/>
                <w:sz w:val="24"/>
                <w:szCs w:val="24"/>
              </w:rPr>
              <w:t>(pateikiama patvirtinančios Sutarties su kita įmone, turinčia teisę atstovauti siūlomos įrangos gamintoją, skaitmeninė kopija).</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Talpyklos tipas</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Modulinė, montuojama į standartinę 19“ pločio kompiuterinės įrangos spintą.</w:t>
            </w:r>
          </w:p>
          <w:p w:rsidR="0020686D" w:rsidRPr="0020686D" w:rsidRDefault="0020686D" w:rsidP="007D38EA">
            <w:pPr>
              <w:tabs>
                <w:tab w:val="left" w:pos="1089"/>
              </w:tabs>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Turi būti galimybė į tą pačią talpyklą talpinti dviejų ir keturių procesorių tarnybines stotis bei diskų talpyklas.</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Talpyklos talpa</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talpinti nemažiau kaip 12 modulinių („blade“ tipo) tarnybinių stočių.</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Talpyklos komplektacija ir aukšto patikimumo savybės</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komplektuojama su:</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Dubliuotais, „karšto keitimo“ tinklo komutatoriais, valdymo moduliais. Jeigu siūloma daugiau nei viena talpykla, visų talpyklų komplektacija turi būti identiška;</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Dubliuotais, „karšto keitimo“ maitinimo šaltiniais ir aušinimo ventiliatoriais, pakankamos komplektacijos, kad aptarnautų maksimalų (įskaitant plėtimo galimybes) tarnybinių stočių ir kitų modulių talpykloje skaičių;</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Maitinimo šaltinių elektros maitinimo įtampa turi atitikti Lietuvos Respublikoje naudojamai kintamai įtampai.</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Tinklo komutatoriai</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2 vnt. „karšto“ keitimo  tipo apjungiančių savyje LAN ir SAN srautus ir palaikančių FCoE (Fiber Channel over Ethernet)  komutatorių, kurių bendras suminis pralaidumas į tarnybines stotis ne mažiau 100 Gbps.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Tinklo komutatoriai turi būti neblokuojančios (angl. Non-blocking) architektūros, vieno vidinis našumas – ne mažiau kaip 6.4 Tbps.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lastRenderedPageBreak/>
              <w:t>Bendras suminis visų komutatorių prievadų kiekis, skirtas išorinės infrastruktūros pajungimui – ne mažiau 6 vnt. QSFP28 jungčių, kurių kiekviena gali dirbti šiais režimais: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1x100Gb Ethernet;</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4x25Gb Ethernet;</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1x40Gb Ethernet;</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4x10Gb Ethernet;</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4x32Gb arba 4x16Gb FC;</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1x32Gb arba 1x16Gb FC.</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Tinklo komutatoriai turi palaikyti:</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Tinklo prievadų apjungimą (IEEE 802.3ad LACP);</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iki 9 kB dydžio paketus (angl. Jumbo frames);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256 virtualių tinklų (IEEE 802.1Q VLAN);</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„Sulieto“ tinklo specifinius protokolus (IEEE 802.1Qbb Priority-Based Flow Control, IEEE 802.1Qaz Enhanced Transmission Selection);</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Saugų nuotolinį valdymą per CLI (tekstinę konsolę) ir/ar HTTPS (WEB) protokolų pagalba;</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Prisijungiančio vartotojo prie valdymo konsolės ar puslapio autentifikaciją LDAP protokolu centralizuotose tarnybose;</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Ethernet prievado vėlinimas - ne daugiau kaip 1.0 µs;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SNMP v3.</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Tinklo komutatoriai turi leisti apjungti iki ne mažiau kaip 3 modulių talpyklų į loginę vieną talpyklą su vieningu valdymu ir visų modulių talpyklų komutatoriai turi apsijungti į vieną loginę dubliuotą komutatorių porą. Tokiu atveju papildomų tarnybinių stočių talpyklų pajungimo modulių įnešamas vėlinimas (latency) turi būti ne didesnis kaip 10 ns.</w:t>
            </w:r>
          </w:p>
          <w:p w:rsidR="0020686D" w:rsidRPr="0020686D" w:rsidRDefault="0020686D" w:rsidP="007D38EA">
            <w:pPr>
              <w:pStyle w:val="ListParagraph"/>
              <w:spacing w:after="0" w:line="240" w:lineRule="auto"/>
              <w:ind w:left="0"/>
              <w:rPr>
                <w:rFonts w:ascii="Times New Roman" w:hAnsi="Times New Roman" w:cs="Times New Roman"/>
                <w:sz w:val="24"/>
                <w:szCs w:val="24"/>
              </w:rPr>
            </w:pPr>
            <w:r w:rsidRPr="0020686D">
              <w:rPr>
                <w:rFonts w:ascii="Times New Roman" w:hAnsi="Times New Roman" w:cs="Times New Roman"/>
                <w:sz w:val="24"/>
                <w:szCs w:val="24"/>
              </w:rPr>
              <w:t>Su kiekvienu komutatoriumi turės būti pateikti optiniai keitikliai – ne mažiau kaip 1 vnt., galintis dirbti 100GbE/4x25GbE/4x32Gb FC QSFP28 režimu ir ne mažiau kaip 1 vnt., galintis dirbti 40GbE/4x10GbE/4x8Gb FC QSFP+ režimu bei reikiamo ilgio bei tipo kabeliai, skirti siūlomos įrangos prijungimui prie pirkėjo naudojamų SAN ir LAN komutatorių.</w:t>
            </w:r>
          </w:p>
          <w:p w:rsidR="0020686D" w:rsidRPr="0020686D" w:rsidRDefault="0020686D" w:rsidP="007D38EA">
            <w:pPr>
              <w:pStyle w:val="ListParagraph"/>
              <w:spacing w:after="0" w:line="240" w:lineRule="auto"/>
              <w:ind w:left="0"/>
              <w:rPr>
                <w:rFonts w:ascii="Times New Roman" w:hAnsi="Times New Roman" w:cs="Times New Roman"/>
                <w:sz w:val="24"/>
                <w:szCs w:val="24"/>
              </w:rPr>
            </w:pPr>
            <w:r w:rsidRPr="0020686D">
              <w:rPr>
                <w:rFonts w:ascii="Times New Roman" w:hAnsi="Times New Roman" w:cs="Times New Roman"/>
                <w:sz w:val="24"/>
                <w:szCs w:val="24"/>
              </w:rPr>
              <w:t>Visą aukščiau išvardintą funkcionalumą galima realizuoti ir naudojant išorinius komutatorius su ne blogesniu našumu ir funkcionalumu.</w:t>
            </w:r>
          </w:p>
        </w:tc>
      </w:tr>
      <w:tr w:rsidR="0020686D" w:rsidRPr="0020686D" w:rsidTr="0020686D">
        <w:trPr>
          <w:trHeight w:val="37"/>
        </w:trPr>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Talpyklos valdymas</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2 vnt. integruotų valdymo modulių kiekvienoje modulinėje talpykloje, leidžiančių nepriklausomai nuo operacinės sistemos įjungti, išjungti tarnybines stotis, peradresuoti grafinę ir tekstinę konsolę, naudoti virtualų nuotolinį DVD ir USB, nuotolinio valdymo atveju sesiją apsaugant SSL protokolu.</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palaikyti vartotojų autentifikaciją LDAP protokolu centralizuotose tarnybose.</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Turi būti pateikta programinė įranga, užtikrinanti modulinių tarnybinių stočių, tinklo komutatorių valdymą, inventorizavimą, monitoringą, konfigūravimą, pranešimų gavimą ir registravimą. Ši programinė įranga turi būti skirta valdyti visas siūlomas </w:t>
            </w:r>
            <w:r w:rsidRPr="0020686D">
              <w:rPr>
                <w:rFonts w:ascii="Times New Roman" w:hAnsi="Times New Roman" w:cs="Times New Roman"/>
                <w:sz w:val="24"/>
                <w:szCs w:val="24"/>
              </w:rPr>
              <w:lastRenderedPageBreak/>
              <w:t>modulines tarnybines stotis, tinklo komutatorius ir tarnybinių stočių talpyklas.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realizuota galimybė nepriklausomai nuo operacinės sistemos priskirti virtualius MAC adresus modulinėms tarnybinėms stotims – automatizuoti MAC adresų priskyrimą, konfigūravimą ir peradresavimą diegiant, keičiant ar perskirstant „blade“ tipo tarnybines stotis talpykloje, nekeičiant jų konfigūracijos.</w:t>
            </w:r>
          </w:p>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realizuota galimybė nepriklausomai nuo operacinės sistemos priskirti virtualius WWN adresus modulinėms tarnybinėms stotims – automatizuoti WWN adresų priskyrimą, konfigūravimą ir peradresavimą diegiant, keičiant ar perskirstant modulines tarnybines stotis talpykloje, nekeičiant jų konfigūracijos.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galimybė valdyti ne mažiau kaip 12 vnt. modulinių talpyklų siūlomais valdymo moduliais.</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Duomenų centrų infrastruktūros valdymo programinė įranga</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Perkamų talpyklų valdymas, stebėjimas ir naujinimas turi integruotis į šiuo metu perkančiosios organizacijos naudojamą HPE OneView programinę įrangą arba pateikti lygiavertį programinį sprendimą, kuris apimtų turimos ir perkamos įrangos valdymą iš vienos konsolės.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Būtinas funkcionalumas: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galimybė įdiegti VMware arba Hyper-V virtualiose aplinkose;</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valdyti modulinių serverių tinklo ir SAN komutatorius;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Moduliniams serveriams turi  sukonfigūruoti VLAN tinklus;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Moduliniams serveriams turi sukonfigūruoti LACP jungtis nurodant konkrečius LACP parametrus;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užtikrinti  visos valdomos įrangos būklės stebėseną (health monitoring);</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stebėti ir atnaujinti valdomos aparatinės įrangos mikrokodą;</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leisti konfigūruoti BIOS nustatymus Web naršyklėje atidedant serverio perkrovimą;</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stebėti valdomos įrangos konfigūracijos pasikeitimus;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Valdomus įrenginius turi leisti sugrupuoti ir atlikti veiksmus su grupėmis, ne vien su pavieniais įrenginiais (groups);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leisti kurti valdomos įrangos konfigūracijos šablonus (templates);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užtikrinti integravimą su serverio nuotolinio valdymo adapteriu;</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autentifikuoti, autorizuoti ir apskaityti pasijungiančius administratorius;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gebėti sukurti savos konfigūracijos rezervines kopijas;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turėti ne mažesnę kaip 3 metų techninio palaikymo ir programinės įrangos atnaujinimo garantiją;</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Diegiamiems įrenginiams SAN komutatoriuose automatiškai turi sukurti SAN zonas;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lastRenderedPageBreak/>
              <w:t>Turi leisti  automatizuoti pasikartojančius konfigūravimo darbus, sukuriant konfigūracinius scenarijus (scripts);</w:t>
            </w:r>
          </w:p>
          <w:p w:rsidR="0020686D" w:rsidRPr="0020686D" w:rsidRDefault="0020686D" w:rsidP="007D38EA">
            <w:pPr>
              <w:pStyle w:val="ListParagraph"/>
              <w:numPr>
                <w:ilvl w:val="0"/>
                <w:numId w:val="3"/>
              </w:num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integruojama su VMware vCenter, VMware vCenter Operations Management Suite, VMware vCenter Log Insight, Microsoft® System Center, Red Hat® Enterprise virtualizacija.</w:t>
            </w:r>
          </w:p>
        </w:tc>
      </w:tr>
      <w:tr w:rsidR="0020686D" w:rsidRPr="0020686D"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Suderinamumas</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oficialiai suderinama su siūlomomis modulinėmis tarnybinėmis stotimis (pateikiant nuorodą į siūlomos įrangos gamintojo viešai publikuojamą informaciją – suderinamumo matricą ar techninę dokumentaciją, iš kurios perkančioji organizacija galėtų įsitikinti, kad siūloma talpykla ir tarnybinės stotys atitinka suderinamumo reikalavimus).</w:t>
            </w:r>
          </w:p>
        </w:tc>
      </w:tr>
      <w:tr w:rsidR="0020686D" w:rsidRPr="0020686D" w:rsidDel="00D96D04"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Surinkimo reikalavimai</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 xml:space="preserve">Siūloma įranga turi būti nauja ir ankščiau nenaudota, gamykliškai atnaujinti (angl. Renewed, Refurbished, Remarketed) komponentai neleistini. </w:t>
            </w:r>
          </w:p>
        </w:tc>
      </w:tr>
      <w:tr w:rsidR="0020686D" w:rsidRPr="0020686D" w:rsidDel="00D96D04"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Siūlomų produktų aprašymai</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Kartu su pasiūlymu turi būti pateikiami siūlomų produktų gamintojo aprašymai (pdf formatu lietuvių arba anglų kalba), kuriuose būtų nurodytos siūlomų produktų charakteristikos.</w:t>
            </w:r>
          </w:p>
        </w:tc>
      </w:tr>
      <w:tr w:rsidR="0020686D" w:rsidRPr="0020686D" w:rsidDel="00D96D04"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Komponentų sąrašas ir gamintojo kodai</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Atskirame dokumente pasiūlyme turi būti pateikiamas pilnas komplektuojamų komponentų sąrašas su gamintojo kodais, kiekiais ir pavadinimais.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Pateikti gamintojo pažymą, kad visa siūloma įranga yra skirta pirkėjui.</w:t>
            </w:r>
          </w:p>
        </w:tc>
      </w:tr>
      <w:tr w:rsidR="0020686D" w:rsidRPr="0020686D" w:rsidDel="00D96D04"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Talpyklos diegimo paslaugos (paslaugų kaina įskaitoma į įrangos kainą)</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Turi būti atliktas įrangos montavimas ir parengimas darbui, sisteminės programinės įrangos (Firmware), valdymo programinės įrangos atnaujinimas. </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Įdiegus, sistema turi būti sukonfigūruota taip, kad gamintojo serviso centrui 24x7 režimu būtų siunčiami pranešimai apie įrangos techninę būklę.</w:t>
            </w:r>
          </w:p>
        </w:tc>
      </w:tr>
      <w:tr w:rsidR="0020686D" w:rsidRPr="0020686D" w:rsidDel="00D96D04" w:rsidTr="0020686D">
        <w:tc>
          <w:tcPr>
            <w:tcW w:w="571" w:type="dxa"/>
            <w:shd w:val="clear" w:color="auto" w:fill="auto"/>
          </w:tcPr>
          <w:p w:rsidR="0020686D" w:rsidRPr="0020686D" w:rsidRDefault="0020686D" w:rsidP="007D38EA">
            <w:pPr>
              <w:numPr>
                <w:ilvl w:val="0"/>
                <w:numId w:val="4"/>
              </w:numPr>
              <w:tabs>
                <w:tab w:val="left" w:pos="1089"/>
              </w:tabs>
              <w:spacing w:after="0" w:line="240" w:lineRule="auto"/>
              <w:ind w:left="0" w:firstLine="0"/>
              <w:jc w:val="left"/>
              <w:rPr>
                <w:rFonts w:ascii="Times New Roman" w:hAnsi="Times New Roman" w:cs="Times New Roman"/>
                <w:sz w:val="24"/>
                <w:szCs w:val="24"/>
              </w:rPr>
            </w:pPr>
          </w:p>
        </w:tc>
        <w:tc>
          <w:tcPr>
            <w:tcW w:w="2543" w:type="dxa"/>
            <w:shd w:val="clear" w:color="auto" w:fill="auto"/>
          </w:tcPr>
          <w:p w:rsidR="0020686D" w:rsidRPr="0020686D" w:rsidRDefault="0020686D" w:rsidP="007D38EA">
            <w:pPr>
              <w:tabs>
                <w:tab w:val="left" w:pos="0"/>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Garantinis aptarnavimas</w:t>
            </w:r>
          </w:p>
        </w:tc>
        <w:tc>
          <w:tcPr>
            <w:tcW w:w="6520"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3 metų, 7 dienas per savaitę, 24 valandos per parą įrangos eksploatavimo vietoje, suteikiama ir atliekama paties įrangos gamintojo arba jo autorizuoto aptarnavimo atstovo. Reakcijos laikas ne daugiau kaip 4 valandos nuo pranešimo apie gedimą.</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Į garantinį aptarnavimą įeina nemokami remonto darbai ir nemokamas sugedusių komponentų pakeitimas.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Visi aukščiau išvardinti reikalavimai privalo būti garantuojami įrangos gamintojo (pateikti tai liudijančią gamintojo dokumentaciją jei tai yra standartiniai oficialūs gamintojo įsipareigojimai arba komplektuoti papildomus gamintojo serviso produktus nurodant pasiūlyme jų kodus ir pavadinimus).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galimybė įrangos gamintojo svetainėje pasitikrinti garantijos lygį, galiojimo laiką bei stebėti informaciją apie gedimus bei jų šalinimo eigą.</w:t>
            </w:r>
          </w:p>
        </w:tc>
      </w:tr>
    </w:tbl>
    <w:p w:rsidR="0020686D" w:rsidRPr="0020686D" w:rsidRDefault="0020686D" w:rsidP="0020686D">
      <w:pPr>
        <w:spacing w:after="0" w:line="240" w:lineRule="auto"/>
        <w:ind w:firstLine="567"/>
        <w:rPr>
          <w:rFonts w:ascii="Times New Roman" w:hAnsi="Times New Roman" w:cs="Times New Roman"/>
          <w:sz w:val="24"/>
          <w:szCs w:val="24"/>
        </w:rPr>
      </w:pPr>
    </w:p>
    <w:p w:rsidR="0020686D" w:rsidRPr="0020686D" w:rsidRDefault="0020686D" w:rsidP="0020686D">
      <w:pPr>
        <w:spacing w:after="0" w:line="240" w:lineRule="auto"/>
        <w:ind w:firstLine="567"/>
        <w:rPr>
          <w:rFonts w:ascii="Times New Roman" w:hAnsi="Times New Roman" w:cs="Times New Roman"/>
          <w:sz w:val="24"/>
          <w:szCs w:val="24"/>
        </w:rPr>
      </w:pPr>
      <w:r w:rsidRPr="0020686D">
        <w:rPr>
          <w:rFonts w:ascii="Times New Roman" w:hAnsi="Times New Roman" w:cs="Times New Roman"/>
          <w:sz w:val="24"/>
          <w:szCs w:val="24"/>
        </w:rPr>
        <w:t>4.1.2. Duomenų bazių tarnybinė stotis – 2 vnt.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6513"/>
      </w:tblGrid>
      <w:tr w:rsidR="0020686D" w:rsidRPr="0020686D" w:rsidTr="0020686D">
        <w:trPr>
          <w:tblHeader/>
        </w:trPr>
        <w:tc>
          <w:tcPr>
            <w:tcW w:w="570"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Eil. Nr.</w:t>
            </w:r>
          </w:p>
        </w:tc>
        <w:tc>
          <w:tcPr>
            <w:tcW w:w="2551"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Parametras</w:t>
            </w:r>
          </w:p>
        </w:tc>
        <w:tc>
          <w:tcPr>
            <w:tcW w:w="6513"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Minimalūs reikalavimai</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Gamintojas, modelis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Nurodo Pardavėjas</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20686D">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Pardavėjas turi būti siūlomos įrangos gamintojas arba būti įgaliotas gamintojo atstovas arba turi būti sudaręs atitinkamą Sutartį su kitu ūkio subjektu, turinčiu teisę parduoti, prižiūrėti ir remontuoti siūlomą techninę įrangą.</w:t>
            </w:r>
          </w:p>
        </w:tc>
        <w:tc>
          <w:tcPr>
            <w:tcW w:w="6513" w:type="dxa"/>
            <w:shd w:val="clear" w:color="auto" w:fill="auto"/>
          </w:tcPr>
          <w:p w:rsidR="0020686D" w:rsidRPr="0020686D" w:rsidRDefault="0020686D" w:rsidP="0020686D">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Dokumentas, patvirtinantis, kad Pardavėjas yra siūlomos įrangos gamintojas (pateikiama Pardavėjo pažyma), ar įgaliotas siūlomos įrangos gamintojo atstovas (pateikiami oficialų atstovavimą patvirtinantys dokumentai) arba turi būti sudaręs atitinkamą sutartį su kitu ūkio subjektu, turinčiu teisę parduoti, prižiūrėti ir remontuoti siūlomą techninę įrangą (pateikiama patvirtinančios Sutarties su kita įmone, turinčia teisę atstovauti siūlomos įrangos gamintoją skaitmeninė kopija).</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Tarnybinių stočių tipas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Modulinė („blade“ tipo), montuojama į siūlomą modulinių tarnybinių stočių talpyklą.</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Procesorių tipas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X64 architektūros. Turi palaikyti automatinę (pagal patiriamą apkrovą) dažnio ir maitinimo įtampos reguliavimo funkciją. Procesoriaus gedimo atveju turi palaikyti automatinį sistemos perkrovimą. Turi būti aparatinio virtualizavimo (angl. hardware assisted virtualization) palaikymas.</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Procesorių branduolių skaičius ir našumas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2 vnt. procesorių.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po 18 branduolių per procesorių.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Našumas turi būti ne mažesnis kaip 252 vienetai pagal SPECrate2017_int_base testą ir 227 vienetų pagal SPECrate2017_fp_base testą. Rezultatai turi būti skelbiami </w:t>
            </w:r>
            <w:hyperlink r:id="rId8" w:history="1">
              <w:r w:rsidRPr="0020686D">
                <w:rPr>
                  <w:rStyle w:val="Hyperlink"/>
                  <w:rFonts w:ascii="Times New Roman" w:hAnsi="Times New Roman" w:cs="Times New Roman"/>
                  <w:sz w:val="24"/>
                  <w:szCs w:val="24"/>
                </w:rPr>
                <w:t>https://www.spec.org</w:t>
              </w:r>
            </w:hyperlink>
            <w:r w:rsidRPr="0020686D">
              <w:rPr>
                <w:rFonts w:ascii="Times New Roman" w:hAnsi="Times New Roman" w:cs="Times New Roman"/>
                <w:sz w:val="24"/>
                <w:szCs w:val="24"/>
              </w:rPr>
              <w:t xml:space="preserve"> puslapyje ir pateikti pasiūlyme bei turi būti galiojantys. Pateikiami našumo rezultatai turi būti išmatuoti bet kurioje aparatinėje tarnybinės stoties platformoje su siūlomais procesoriais.</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Operatyvinė atmintis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nei 1,5 TB, ne prasčiau kaip DDR4-2933 DIMM tipo atminties moduliai. Atminties apsaugos technologijų palaikymas, pvz.: ,,Chipkill“, Advanced ECC“, ,,Memory Mirroring“, Single Device Disable Code (SDDC)“, „Extended ECC“, „Chipspare“ ar lygiaverčių. Tarnybinės stoties komplektacija turi būti sukonfigūruota maksimaliai greitaveikai.</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Diskų adapteris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Vidinis ne prastesnis nei 12 Gb/s Serial-Attached SCSI (SAS) diskų adapteris.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1 GB sparčiosios atminties, kuri apsaugota nuo elektros dingimų.</w:t>
            </w:r>
          </w:p>
          <w:p w:rsidR="0020686D" w:rsidRPr="0020686D" w:rsidRDefault="0020686D" w:rsidP="007D38EA">
            <w:pPr>
              <w:tabs>
                <w:tab w:val="left" w:pos="1089"/>
              </w:tabs>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Palaikantis RAID 0, 1, 10, 5, 6, lygius.</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Sisteminiai diskai</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nemažiau kaip 2 vnt. 240 GB SSD SFF tipo, „karšto“ keitimo diskų.</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Vaizdo posistemė</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Integruota, ne mažiau kaip 16 MB vaizdo atmintis.</w:t>
            </w:r>
          </w:p>
        </w:tc>
      </w:tr>
      <w:tr w:rsidR="0020686D" w:rsidRPr="0020686D"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Tinklo sąsajos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Ne mažiau kaip 2 vnt. ne lėtesnių kaip 50 Gb ,,sulieto“ tinklo (angl. „coverged network“) sąsajų užtikrinančių tarnybinės stoties prijungimą prie Ethernet ir Fiber Channel tinklų. Turi palaikyti TCP/IP Offload Engine, iSCSI ir FcoE, RoCE V2, iWARP, VXLAN, NVGRE, GENEVE, NVMe-oF. </w:t>
            </w:r>
          </w:p>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galimybė kiekvieną sąsają sukonfigūruoti kaip 8 atskiras virtualias sąsajas, kurios tarnybinės stoties būtų traktuojamos kaip fizinės, nustatyti/keisti šių virtualių sąsajų greitaveiką.</w:t>
            </w:r>
          </w:p>
        </w:tc>
      </w:tr>
      <w:tr w:rsidR="0020686D" w:rsidRPr="0020686D" w:rsidDel="00D96D04"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Išplėtimo lizdai</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3 vnt. ne blogesnių kaip x16 PCIe 3.0 mezzanine, ne mažiau kaip 2 vnt. iš jų – laisvų.</w:t>
            </w:r>
          </w:p>
        </w:tc>
      </w:tr>
      <w:tr w:rsidR="0020686D" w:rsidRPr="0020686D" w:rsidDel="00D96D04"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Suderinamumas su operacinėmis sistemomis</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 stotis turi būti sertifikuota darbui su (ne blogiau kaip): RedHat Enterprise Linux, VMware vSphere, VMware ESXi.</w:t>
            </w:r>
          </w:p>
        </w:tc>
      </w:tr>
      <w:tr w:rsidR="0020686D" w:rsidRPr="0020686D" w:rsidDel="00D96D04"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Valdymo posistemė</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Integruota valdymo posistemė (angl. advanced system management / service processor) nuolatiniam sistemos darbo stebėjimui ir valdymui, skirta užtikrinti stabilų ir ilgalaikį sistemos veikimą. Turi būti galimybė atlikti tarnybinės stoties diagnostiką nuotoliniu būdu. </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Nepriklausomas nuo operacinės sistemos, veikiantis be agentų.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Turi būti: </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Tarnybinės stoties nutolęs valdymas per WEB naršyklę, neinstaliuojant papildomos programinės įrangos, naudojant ne blogesnę kaip WEB 2.0 technologiją;</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Tekstinė ir grafinė konsolės;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Turi būti galimybė saugiai ištrinti tarnybinės stoties diskus bei nuotolinio valdymo adapterio vidinę informaciją;</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Virtualus CD - ROM ir KVM palaikymas;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ne mažiau kaip 128bit SSL saugumas;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MS Active Directory palaikymas;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Nuotolinis tarnybinės stoties įjungimas/išjungimas;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Galimybė apriboti tarnybinės stoties vartojamą elektros galingumą tarnybinių stočių grupėms ir individualiems resursams;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Galimybė prisijungi ne mažiau kaip 12  nutolusių vartotojų vienu metu ir dalintis konsolės seansu;</w:t>
            </w:r>
          </w:p>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 Aparatinės dalies temperatūros, CPU, operatyvinės atminties, vidinių diskų būklės stebėjimas ir automatinis SNMP pranešimų siuntimas administratoriui ir gamintojo servisui.</w:t>
            </w:r>
          </w:p>
        </w:tc>
      </w:tr>
      <w:tr w:rsidR="0020686D" w:rsidRPr="0020686D" w:rsidDel="00D96D04"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Sisteminio mikrokodo (firmware) saugumo savybės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Tarnybinės stoties darbo metu turi periodiškai tikrinti sistemos mikrokodus dėl nesankcionuotų pakeitimų.</w:t>
            </w:r>
          </w:p>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Tarnybinės stoties įjungimo metu turi pasitikrinti sisteminės programinės įrangos autentiškumą ir automatiškai atstatyti iš rezervinės kopijos, jei pažeistas autentiškumas. Nepavykus atstatyti turi būti uždraustas serverio operacinės sistemos krovimasis.</w:t>
            </w:r>
          </w:p>
        </w:tc>
      </w:tr>
      <w:tr w:rsidR="0020686D" w:rsidRPr="0020686D" w:rsidDel="00D96D04"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Surinkimo reikalavimai</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Siūloma įranga turi būti nauja ir ankščiau nenaudota, gamykliškai atnaujinti (angl. renewed, refurbished, remarketed) komponentai neleistini.</w:t>
            </w:r>
          </w:p>
        </w:tc>
      </w:tr>
      <w:tr w:rsidR="0020686D" w:rsidRPr="0020686D" w:rsidDel="00D96D04"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Tarnybinių stočių diegimo paslaugos (paslaugų kaina įskaitoma į pasiūlymo kainą)</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Turi būti atliktas įrangos montavimas ir parengimas darbui, sisteminės programinės įrangos (Firmware), valdymo programinės įrangos atnaujinimas. Įrangos diegimą turi atlikti gamintojo specialistai arba sertifikuoti partnerio specialistai, turintys teisę atlikti tokius diegimo darbus. Įdiegus, sistema turi būti sukonfigūruota taip, kad gamintojo nuotolinio serviso centrui </w:t>
            </w:r>
            <w:r w:rsidRPr="0020686D">
              <w:rPr>
                <w:rFonts w:ascii="Times New Roman" w:hAnsi="Times New Roman" w:cs="Times New Roman"/>
                <w:sz w:val="24"/>
                <w:szCs w:val="24"/>
              </w:rPr>
              <w:lastRenderedPageBreak/>
              <w:t>24x7 režimu, būtų siunčiami pranešimai apie įrangos techninę būklę.</w:t>
            </w:r>
          </w:p>
        </w:tc>
      </w:tr>
      <w:tr w:rsidR="0020686D" w:rsidRPr="0020686D" w:rsidDel="00D96D04" w:rsidTr="0020686D">
        <w:tc>
          <w:tcPr>
            <w:tcW w:w="570" w:type="dxa"/>
            <w:shd w:val="clear" w:color="auto" w:fill="auto"/>
          </w:tcPr>
          <w:p w:rsidR="0020686D" w:rsidRPr="0020686D" w:rsidRDefault="0020686D" w:rsidP="007D38EA">
            <w:pPr>
              <w:numPr>
                <w:ilvl w:val="0"/>
                <w:numId w:val="5"/>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Garantinis aptarnavimas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36 mėn., darbo dienomis, darbo valandomis (9x5, angl. “Next Business Day”) įrangos eksploatavimo vietoje, suteikiama ir atliekama paties įrangos gamintojo arba jo autorizuoto serviso centro atstovo. Visi aukščiau išvardinti reikalavimai privalo būti garantuojami įrangos gamintojo. Turi būti gamintojo priešlaikinė garantija (angl. ,,Pre-Failure Warranty“) procesoriui, operatyvinei atminčiai ir diskams. Į garantinį aptarnavimą įeina nemokami remonto darbai ir nemokamas sugedusių komponentų pakeitimas.</w:t>
            </w:r>
          </w:p>
        </w:tc>
      </w:tr>
    </w:tbl>
    <w:p w:rsidR="0020686D" w:rsidRPr="0020686D" w:rsidRDefault="0020686D" w:rsidP="0020686D">
      <w:pPr>
        <w:spacing w:after="0" w:line="240" w:lineRule="auto"/>
        <w:rPr>
          <w:rFonts w:ascii="Times New Roman" w:hAnsi="Times New Roman" w:cs="Times New Roman"/>
          <w:sz w:val="24"/>
          <w:szCs w:val="24"/>
        </w:rPr>
      </w:pPr>
    </w:p>
    <w:p w:rsidR="0020686D" w:rsidRPr="0020686D" w:rsidRDefault="0020686D" w:rsidP="0020686D">
      <w:pPr>
        <w:spacing w:after="0" w:line="240" w:lineRule="auto"/>
        <w:ind w:firstLine="567"/>
        <w:rPr>
          <w:rFonts w:ascii="Times New Roman" w:hAnsi="Times New Roman" w:cs="Times New Roman"/>
          <w:sz w:val="24"/>
          <w:szCs w:val="24"/>
        </w:rPr>
      </w:pPr>
      <w:r w:rsidRPr="0020686D">
        <w:rPr>
          <w:rFonts w:ascii="Times New Roman" w:hAnsi="Times New Roman" w:cs="Times New Roman"/>
          <w:sz w:val="24"/>
          <w:szCs w:val="24"/>
        </w:rPr>
        <w:t>4.1.3. Aplikacijų tarnybinė stotis – 2 vnt.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6513"/>
      </w:tblGrid>
      <w:tr w:rsidR="0020686D" w:rsidRPr="0020686D" w:rsidTr="0020686D">
        <w:trPr>
          <w:tblHeader/>
        </w:trPr>
        <w:tc>
          <w:tcPr>
            <w:tcW w:w="570"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Eil. Nr.</w:t>
            </w:r>
          </w:p>
        </w:tc>
        <w:tc>
          <w:tcPr>
            <w:tcW w:w="2551"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Parametras</w:t>
            </w:r>
          </w:p>
        </w:tc>
        <w:tc>
          <w:tcPr>
            <w:tcW w:w="6513"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Minimalūs reikalavimai</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Gamintojas, modelis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Nurodo Pardavėjas</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20686D">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Pardavėjas turi būti siūlomos įrangos gamintojas arba būti įgaliotas gamintojo atstovas arba turi būti sudaręs atitinkamą Sutartį su kitu ūkio subjektu, turinčiu teisę parduoti, prižiūrėti ir remontuoti siūlomą techninę įrangą.</w:t>
            </w:r>
          </w:p>
        </w:tc>
        <w:tc>
          <w:tcPr>
            <w:tcW w:w="6513" w:type="dxa"/>
            <w:shd w:val="clear" w:color="auto" w:fill="auto"/>
          </w:tcPr>
          <w:p w:rsidR="0020686D" w:rsidRPr="0020686D" w:rsidRDefault="0020686D" w:rsidP="0020686D">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Dokumentas, patvirtinantis, kad Pardavėjas yra siūlomos įrangos gamintojas (pateikiama Pardavėjo pažyma), ar įgaliotas siūlomos įrangos gamintojo atstovas (pateikiami oficialų atstovavimą patvirtinantys dokumentai) arba turi būti sudaręs atitinkamą Sutartį su kitu ūkio subjektu, turinčiu teisę parduoti, prižiūrėti ir remontuoti siūlomą techninę įrangą</w:t>
            </w:r>
            <w:r w:rsidRPr="0020686D" w:rsidDel="00EC473A">
              <w:rPr>
                <w:rFonts w:ascii="Times New Roman" w:hAnsi="Times New Roman" w:cs="Times New Roman"/>
                <w:sz w:val="24"/>
                <w:szCs w:val="24"/>
              </w:rPr>
              <w:t xml:space="preserve"> </w:t>
            </w:r>
            <w:r w:rsidRPr="0020686D">
              <w:rPr>
                <w:rFonts w:ascii="Times New Roman" w:hAnsi="Times New Roman" w:cs="Times New Roman"/>
                <w:sz w:val="24"/>
                <w:szCs w:val="24"/>
              </w:rPr>
              <w:t>(pateikiama patvirtinančios Sutarties su kita įmone, turinčia teisę atstovauti siūlomos įrangos gamintoją skaitmeninė kopija).</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Tarnybinių stočių tipas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Modulinė („blade“ tipo), montuojama į siūlomą modulinių tarnybinių stočių talpyklą.</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Procesorių tipas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X64 architektūros. Turi palaikyti automatinę (pagal patiriamą apkrovą) dažnio ir maitinimo įtampos reguliavimo funkciją. Procesoriaus gedimo atveju turi palaikyti automatinį sistemos perkrovimą. Turi būti aparatinio virtualizavimo (angl. hardware assisted virtualization) palaikymas.</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Procesorių branduolių skaičius ir našumas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2 vnt. procesorių.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po 18 branduolių per procesorių.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Našumas turi būti ne mažesnis kaip 252 vienetai pagal SPECrate2017_int_base testą ir 227 vienetų pagal SPECrate2017_fp_base testą. Rezultatai turi būti skelbiami </w:t>
            </w:r>
            <w:hyperlink r:id="rId9" w:history="1">
              <w:r w:rsidRPr="0020686D">
                <w:rPr>
                  <w:rStyle w:val="Hyperlink"/>
                  <w:rFonts w:ascii="Times New Roman" w:hAnsi="Times New Roman" w:cs="Times New Roman"/>
                  <w:sz w:val="24"/>
                  <w:szCs w:val="24"/>
                </w:rPr>
                <w:t>https://www.spec.org</w:t>
              </w:r>
            </w:hyperlink>
            <w:r w:rsidRPr="0020686D">
              <w:rPr>
                <w:rFonts w:ascii="Times New Roman" w:hAnsi="Times New Roman" w:cs="Times New Roman"/>
                <w:sz w:val="24"/>
                <w:szCs w:val="24"/>
              </w:rPr>
              <w:t xml:space="preserve"> puslapyje ir pateikti pasiūlyme. Pateikiami našumo rezultatai turi būti išmatuoti bet kurioje aparatinėje tarnybinės stoties platformoje su siūlomais procesoriais.</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Operatyvinė atmintis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nei 756 GB, ne prasčiau kaip DDR4-2933 DIMM tipo atminties moduliai. Atminties apsaugos technologijų palaikymas, pvz.: ,,Chipkill“, Advanced ECC“, ,,Memory Mirroring“, Single Device Disable Code (SDDC)“, „Extended ECC“, „Chipspare“ ar lygiaverčių. Tarnybinės stoties komplektacija turi būti sukonfigūruota maksimaliai greitaveikai.</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Diskų adapteris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Vidinis ne prastesnis nei 12 Gb/s Serial-Attached SCSI (SAS) diskų adapteris.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lastRenderedPageBreak/>
              <w:t>Ne mažiau kaip 1 GB sparčiosios atminties, kuri apsaugota nuo elektros dingimų.</w:t>
            </w:r>
          </w:p>
          <w:p w:rsidR="0020686D" w:rsidRPr="0020686D" w:rsidRDefault="0020686D" w:rsidP="007D38EA">
            <w:pPr>
              <w:tabs>
                <w:tab w:val="left" w:pos="1089"/>
              </w:tabs>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Palaikantis RAID 0, 1, 10, 5, 6, lygius</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Sisteminiai diskai</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nemažiau kaip 2 vnt. 240 GB SSD SFF tipo, „karšto“ keitimo diskų.</w:t>
            </w:r>
          </w:p>
        </w:tc>
      </w:tr>
      <w:tr w:rsidR="0020686D" w:rsidRPr="0020686D"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Vaizdo posistemė</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Integruota, ne mažiau kaip 16 MB vaizdo atmintis.</w:t>
            </w:r>
          </w:p>
        </w:tc>
      </w:tr>
      <w:tr w:rsidR="0020686D" w:rsidRPr="0020686D" w:rsidDel="00D96D04"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Tinklo sąsajos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Ne mažiau kaip 2 vnt. ne lėtesnių kaip 50 Gb ,,sulieto“ tinklo (angl. „coverged network“) sąsajų užtikrinančių tarnybinės stoties prijungimą prie Ethernet ir Fiber Channel tinklų. Turi palaikyti TCP/IP Offload Engine, iSCSI ir FcoE, RoCE V2, iWARP, VXLAN, NVGRE, GENEVE, NVMe-oF. </w:t>
            </w:r>
          </w:p>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galimybė kiekvieną sąsają sukonfigūruoti kaip 8 atskiras virtualias sąsajas, kurios tarnybinės stoties būtų traktuojamos kaip fizinės, nustatyti/keisti šių virtualių sąsajų greitaveiką.</w:t>
            </w:r>
          </w:p>
        </w:tc>
      </w:tr>
      <w:tr w:rsidR="0020686D" w:rsidRPr="0020686D" w:rsidDel="00D96D04"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Išplėtimo lizdai</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3 vnt. ne blogesnių kaip x16 PCIe 3.0 mezzanine, ne mažiau kaip 2 vnt. iš jų – laisvų.</w:t>
            </w:r>
          </w:p>
        </w:tc>
      </w:tr>
      <w:tr w:rsidR="0020686D" w:rsidRPr="0020686D" w:rsidDel="00D96D04"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Suderinamumas su operacinėmis sistemomis</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 stotis turi būti sertifikuota darbui su (ne blogiau kaip): RedHat Enterprise Linux, VMware vSphere, VMware ESXi.</w:t>
            </w:r>
          </w:p>
        </w:tc>
      </w:tr>
      <w:tr w:rsidR="0020686D" w:rsidRPr="0020686D" w:rsidDel="00D96D04"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Valdymo posistemė</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Integruota valdymo posistemė (angl. advanced system management/service processor) nuolatiniam sistemos darbo stebėjimui ir valdymui, skirta užtikrinti stabilų ir ilgalaikį sistemos veikimą. Turi būti galimybė atlikti tarnybinės stoties diagnostiką nuotoliniu būdu. </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Nepriklausoma nuo operacinės sistemos, veikianti be agentų.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Turi būti: </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Tarnybinės stoties nutolęs valdymas per WEB naršyklę, neinstaliuojant papildomos programinės įrangos, naudojant ne blogesnę kaip WEB 2.0 technologiją;</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Tekstinė ir grafinė konsolės;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Turi būti galimybė saugiai ištrinti tarnybinės stoties diskus bei nuotolinio valdymo adapterio vidinę informaciją;</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Virtualus CD - ROM ir KVM palaikymas;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Ne mažiau kaip 128bit SSL saugumas;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MS Active Directory palaikymas;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Nuotolinis tarnybinės stoties įjungimas/išjungimas;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Galimybė apriboti tarnybinės stoties vartojamą elektros galingumą tarnybinių stočių grupėms ir individualiems resursams;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Galimybė prisijungi ne mažiau kaip 12  nutolusių vartotojų vienu metu ir dalintis konsolės seansu;</w:t>
            </w:r>
          </w:p>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 Aparatinės dalies temperatūros, CPU, operatyvinės atminties, vidinių diskų būklės stebėjimas ir automatinis SNMP pranešimų siuntimas administratoriui ir gamintojo servisui.</w:t>
            </w:r>
          </w:p>
        </w:tc>
      </w:tr>
      <w:tr w:rsidR="0020686D" w:rsidRPr="0020686D" w:rsidDel="00D96D04"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Sisteminio mikrokodo (firmware) saugumo savybės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Tarnybinės stoties darbo metu turi periodiškai tikrinti sistemos mikrokodus dėl nesankcionuotų pakeitimų.</w:t>
            </w:r>
          </w:p>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Tarnybinės stoties įjungimo metu turi pasitikrinti sisteminės programinės įrangos autentiškumą ir automatiškai atstyti iš rezervinės kopijos, jei pažeistas autentiškumas. Nepavykus atstatyti turi būti uždraustas serverio operacinės sistemos krovimasis.</w:t>
            </w:r>
          </w:p>
        </w:tc>
      </w:tr>
      <w:tr w:rsidR="0020686D" w:rsidRPr="0020686D" w:rsidDel="00D96D04"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Tarnybinių stočių diegimo paslaugos (paslaugų kaina įskaitoma į pasiūlymo kainą)</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atliktas įrangos montavimas ir parengimas darbui, sisteminės programinės įrangos (Firmware), valdymo programinės įrangos atnaujinimas. Įrangos diegimą turi atlikti gamintojo specialistai arba sertifikuoti partnerio specialistai, turintys teisę atlikti tokius diegimo darbus. Įdiegus, sistema turi būti sukonfigūruota taip, kad gamintojo nuotolinio serviso centrui 24x7 režimu, būtų siunčiami pranešimai apie įrangos techninę būklę.</w:t>
            </w:r>
          </w:p>
        </w:tc>
      </w:tr>
      <w:tr w:rsidR="0020686D" w:rsidRPr="0020686D" w:rsidDel="00D96D04" w:rsidTr="0020686D">
        <w:tc>
          <w:tcPr>
            <w:tcW w:w="570" w:type="dxa"/>
            <w:shd w:val="clear" w:color="auto" w:fill="auto"/>
          </w:tcPr>
          <w:p w:rsidR="0020686D" w:rsidRPr="0020686D" w:rsidRDefault="0020686D" w:rsidP="007D38EA">
            <w:pPr>
              <w:numPr>
                <w:ilvl w:val="0"/>
                <w:numId w:val="6"/>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Garantinis aptarnavimas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36 mėn., darbo dienomis, darbo valandomis (9x5, angl. “Next Business Day”) įrangos eksploatavimo vietoje, suteikiama ir atliekama paties įrangos gamintojo arba jo autorizuoto serviso centro atstovo. Visi aukščiau išvardinti reikalavimai privalo būti garantuojami įrangos gamintojo. Turi būti gamintojo priešlaikinė garantija (angl. ,,Pre-Failure Warranty“) procesoriui, operatyvinei atminčiai ir diskams. Į garantinį aptarnavimą įeina nemokami remonto darbai ir nemokamas sugedusių komponentų pakeitimas.</w:t>
            </w:r>
          </w:p>
        </w:tc>
      </w:tr>
    </w:tbl>
    <w:p w:rsidR="0020686D" w:rsidRPr="0020686D" w:rsidRDefault="0020686D" w:rsidP="0020686D">
      <w:pPr>
        <w:spacing w:after="0" w:line="240" w:lineRule="auto"/>
        <w:rPr>
          <w:rFonts w:ascii="Times New Roman" w:hAnsi="Times New Roman" w:cs="Times New Roman"/>
          <w:sz w:val="24"/>
          <w:szCs w:val="24"/>
        </w:rPr>
      </w:pPr>
    </w:p>
    <w:p w:rsidR="0020686D" w:rsidRPr="0020686D" w:rsidRDefault="0020686D" w:rsidP="0020686D">
      <w:pPr>
        <w:spacing w:after="0" w:line="240" w:lineRule="auto"/>
        <w:ind w:firstLine="567"/>
        <w:rPr>
          <w:rFonts w:ascii="Times New Roman" w:hAnsi="Times New Roman" w:cs="Times New Roman"/>
          <w:sz w:val="24"/>
          <w:szCs w:val="24"/>
        </w:rPr>
      </w:pPr>
      <w:r w:rsidRPr="0020686D">
        <w:rPr>
          <w:rFonts w:ascii="Times New Roman" w:hAnsi="Times New Roman" w:cs="Times New Roman"/>
          <w:sz w:val="24"/>
          <w:szCs w:val="24"/>
        </w:rPr>
        <w:t>4.1.4. Auditavimo, administravimo, mainų platformos tarnybinės stotys – 2 vnt.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6513"/>
      </w:tblGrid>
      <w:tr w:rsidR="0020686D" w:rsidRPr="0020686D" w:rsidTr="0020686D">
        <w:trPr>
          <w:tblHeader/>
        </w:trPr>
        <w:tc>
          <w:tcPr>
            <w:tcW w:w="570"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Eil. Nr.</w:t>
            </w:r>
          </w:p>
        </w:tc>
        <w:tc>
          <w:tcPr>
            <w:tcW w:w="2551"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Parametras</w:t>
            </w:r>
          </w:p>
        </w:tc>
        <w:tc>
          <w:tcPr>
            <w:tcW w:w="6513" w:type="dxa"/>
            <w:shd w:val="clear" w:color="auto" w:fill="auto"/>
            <w:vAlign w:val="center"/>
          </w:tcPr>
          <w:p w:rsidR="0020686D" w:rsidRPr="0020686D" w:rsidRDefault="0020686D" w:rsidP="007D38EA">
            <w:pPr>
              <w:tabs>
                <w:tab w:val="left" w:pos="1089"/>
              </w:tabs>
              <w:spacing w:after="0" w:line="240" w:lineRule="auto"/>
              <w:jc w:val="center"/>
              <w:rPr>
                <w:rFonts w:ascii="Times New Roman" w:hAnsi="Times New Roman" w:cs="Times New Roman"/>
                <w:b/>
                <w:sz w:val="24"/>
                <w:szCs w:val="24"/>
              </w:rPr>
            </w:pPr>
            <w:r w:rsidRPr="0020686D">
              <w:rPr>
                <w:rFonts w:ascii="Times New Roman" w:hAnsi="Times New Roman" w:cs="Times New Roman"/>
                <w:b/>
                <w:sz w:val="24"/>
                <w:szCs w:val="24"/>
              </w:rPr>
              <w:t>Minimalūs reikalavimai</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Gamintojas, modelis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Nurodo Pardavėjas</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20686D">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Pardavėjas turi būti siūlomos įrangos gamintojas arba būti įgaliotas gamintojo atstovas arba turi būti sudaręs atitinkamą Sutartį su kitu ūkio subjektu, turinčiu teisę parduoti, prižiūrėti ir remontuoti siūlomą techninę įrangą.</w:t>
            </w:r>
          </w:p>
        </w:tc>
        <w:tc>
          <w:tcPr>
            <w:tcW w:w="6513" w:type="dxa"/>
            <w:shd w:val="clear" w:color="auto" w:fill="auto"/>
          </w:tcPr>
          <w:p w:rsidR="0020686D" w:rsidRPr="0020686D" w:rsidRDefault="0020686D" w:rsidP="0020686D">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Dokumentas, patvirtinantis, kad Pardavėjas yra siūlomos įrangos gamintojas (pateikiama Pardavėjo pažyma), ar įgaliotas siūlomos įrangos gamintojo atstovas (pateikiami oficialų atstovavimą patvirtinantys dokumentai) arba turi būti sudaręs atitinkamą Sutartį su kitu ūkio subjektu, turinčiu teisę parduoti, prižiūrėti ir remontuoti siūlomą techninę įrangą (pateikiama patvirtinančios Sutarties su kita įmone, turinčia teisę atstovauti siūlomos įrangos gamintoją skaitmeninė kopija).</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Tarnybinių stočių tipas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Modulinė („blade“ tipo), montuojama į siūlomą modulinių tarnybinių stočių talpyklą.</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Procesorių tipas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X64 architektūros. Turi palaikyti automatinę (pagal patiriamą apkrovą) dažnio ir maitinimo įtampos reguliavimo funkciją. Procesoriaus gedimo atveju turi palaikyti automatinį sistemos perkrovimą. Turi būti aparatinio virtualizavimo (angl. hardware assisted virtualization) palaikymas.</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Procesorių branduolių skaičius ir našumas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2 vnt. procesorių.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po 18 branduolių per procesorių.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lastRenderedPageBreak/>
              <w:t xml:space="preserve">Našumas turi būti ne mažesnis kaip 252 vienetai pagal SPECrate2017_int_base testą ir 227 vienetų pagal SPECrate2017_fp_base testą. Rezultatai turi būti skelbiami </w:t>
            </w:r>
            <w:hyperlink r:id="rId10" w:history="1">
              <w:r w:rsidRPr="0020686D">
                <w:rPr>
                  <w:rStyle w:val="Hyperlink"/>
                  <w:rFonts w:ascii="Times New Roman" w:hAnsi="Times New Roman" w:cs="Times New Roman"/>
                  <w:sz w:val="24"/>
                  <w:szCs w:val="24"/>
                </w:rPr>
                <w:t>https://www.spec.org</w:t>
              </w:r>
            </w:hyperlink>
            <w:r w:rsidRPr="0020686D">
              <w:rPr>
                <w:rFonts w:ascii="Times New Roman" w:hAnsi="Times New Roman" w:cs="Times New Roman"/>
                <w:sz w:val="24"/>
                <w:szCs w:val="24"/>
              </w:rPr>
              <w:t xml:space="preserve"> puslapyje ir pateikti pasiūlyme. Pateikiami našumo rezultatai turi būti išmatuoti bet kurioje aparatinėje tarnybinės stoties platformoje su siūlomais procesoriais.</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Operatyvinė atmintis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nei 512 GB, ne prasčiau kaip DDR4-2933 DIMM tipo atminties moduliai. Atminties apsaugos technologijų palaikymas, pvz.: ,,Chipkill“, Advanced ECC“, ,,Memory Mirroring“, Single Device Disable Code (SDDC)“, „Extended ECC“, „Chipspare“ ar lygiaverčių. Tarnybinės stoties komplektacija turi būti sukonfigūruota maksimaliai greitaveikai.</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Diskų adapteris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Vidinis ne prastesnis nei 12 Gb/s Serial-Attached SCSI (SAS) diskų adapteris.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1 GB sparčiosios atminties, kuri apsaugota nuo elektros dingimų.</w:t>
            </w:r>
          </w:p>
          <w:p w:rsidR="0020686D" w:rsidRPr="0020686D" w:rsidRDefault="0020686D" w:rsidP="007D38EA">
            <w:pPr>
              <w:tabs>
                <w:tab w:val="left" w:pos="1089"/>
              </w:tabs>
              <w:spacing w:after="0" w:line="240" w:lineRule="auto"/>
              <w:rPr>
                <w:rFonts w:ascii="Times New Roman" w:hAnsi="Times New Roman" w:cs="Times New Roman"/>
                <w:b/>
                <w:sz w:val="24"/>
                <w:szCs w:val="24"/>
              </w:rPr>
            </w:pPr>
            <w:r w:rsidRPr="0020686D">
              <w:rPr>
                <w:rFonts w:ascii="Times New Roman" w:hAnsi="Times New Roman" w:cs="Times New Roman"/>
                <w:sz w:val="24"/>
                <w:szCs w:val="24"/>
              </w:rPr>
              <w:t>Palaikantis RAID 0, 1, 10, 5, 6, lygius.</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Sisteminiai diskai</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nemažiau kaip 2 vnt. 240 GB SSD SFF tipo, „karšto“ keitimo diskų.</w:t>
            </w:r>
          </w:p>
        </w:tc>
      </w:tr>
      <w:tr w:rsidR="0020686D" w:rsidRPr="0020686D"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Vaizdo posistemė</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Integruota, ne mažiau kaip 16 MB vaizdo atmintis.</w:t>
            </w:r>
          </w:p>
        </w:tc>
      </w:tr>
      <w:tr w:rsidR="0020686D" w:rsidRPr="0020686D" w:rsidDel="00D96D04"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Tinklo sąsajos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2 vnt. ne lėtesnių kaip 50 Gb ,,sulieto“ tinklo (angl. „coverged network“) sąsajų užtikrinančių tarnybinės stoties prijungimą prie Ethernet ir Fiber Channel tinklų. Turi palaikyti TCP/IP Offload Engine, iSCSI ir FcoE, RoCE V2, iWARP, VXLAN, NVGRE, GENEVE, NVMe-oF.</w:t>
            </w:r>
          </w:p>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galimybė kiekvieną sąsają sukonfigūruoti kaip 8 atskiras virtualias sąsajas, kurios tarnybinės stoties būtų traktuojamos kaip fizinės, nustatyti/keisti šių virtualių sąsajų greitaveiką.</w:t>
            </w:r>
          </w:p>
        </w:tc>
      </w:tr>
      <w:tr w:rsidR="0020686D" w:rsidRPr="0020686D" w:rsidDel="00D96D04"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Išplėtimo lizdai</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3 vnt. ne blogesnių kaip x16 PCIe 3.0 mezzanine, ne mažiau kaip 2 vnt. iš jų – laisvų.</w:t>
            </w:r>
          </w:p>
        </w:tc>
      </w:tr>
      <w:tr w:rsidR="0020686D" w:rsidRPr="0020686D" w:rsidDel="00D96D04"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Suderinamumas su operacinėmis sistemomis</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 stotis turi būti sertifikuota darbui su (ne blogiau kaip): RedHat Enterprise Linux, VMware vSphere, VMware ESXi.</w:t>
            </w:r>
          </w:p>
        </w:tc>
      </w:tr>
      <w:tr w:rsidR="0020686D" w:rsidRPr="0020686D" w:rsidDel="00D96D04"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Valdymo posistemė</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Integruota valdymo posistemė (angl. advanced system management / service processor) nuolatiniam sistemos darbo stebėjimui ir valdymui, skirta užtikrinti stabilų ir ilgalaikį sistemos veikimą. Turi būti galimybė atlikti tarnybinės stoties diagnostiką nuotoliniu būdu. </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Nepriklausomas nuo operacinės sistemos, veikiantis be agentų.</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xml:space="preserve">Turi būti: </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Tarnybinės stoties nutolęs valdymas per WEB naršyklę, neinstaliuojant papildomos programinės įrangos, naudojant ne blogesnę kaip WEB 2.0 technologiją;</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Tekstinė ir grafinė konsolės;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lastRenderedPageBreak/>
              <w:t>- Turi būti galimybė saugiai ištrinti tarnybinės stoties diskus bei nuotolinio valdymo adapterio vidinę informaciją;</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Virtualus CD - ROM ir KVM palaikymas;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Ne mažiau kaip 128bit SSL saugumas;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MS Active Directory palaikymas;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Nuotolinis tarnybinės stoties įjungimas/išjungimas;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Galimybė apriboti tarnybinės stoties vartojamą elektros galingumą tarnybinių stočių grupėms ir individualiems resursams;</w:t>
            </w:r>
          </w:p>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 Galimybė prisijungi ne mažiau kaip 12  nutolusių vartotojų vienu metu ir dalintis konsolės seansu;</w:t>
            </w:r>
          </w:p>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 Aparatinės dalies temperatūros, CPU, operatyvinės atminties, vidinių diskų būklės stebėjimas ir automatinis SNMP pranešimų siuntimas administratoriui ir gamintojo servisui.</w:t>
            </w:r>
          </w:p>
        </w:tc>
      </w:tr>
      <w:tr w:rsidR="0020686D" w:rsidRPr="0020686D" w:rsidDel="00D96D04"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Sisteminio mikrokodo (firmware) saugumo savybės</w:t>
            </w:r>
          </w:p>
        </w:tc>
        <w:tc>
          <w:tcPr>
            <w:tcW w:w="6513" w:type="dxa"/>
            <w:shd w:val="clear" w:color="auto" w:fill="auto"/>
          </w:tcPr>
          <w:p w:rsidR="0020686D" w:rsidRPr="0020686D" w:rsidRDefault="0020686D" w:rsidP="007D38EA">
            <w:pPr>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Tarnybinės stoties darbo metu turi periodiškai tikrinti sistemos mikrokodus dėl nesankcionuotų pakeitimų.</w:t>
            </w:r>
          </w:p>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Tarnybinės stoties įjungimo metu turi pasitikrinti sisteminės programinės įrangos autentiškumą ir automatiškai atstyti iš rezervinės kopijos, jei pažeistas autentiškumas. Nepavykus atstatyti turi būti uždraustas serverio operacinės sistemos krovimasis.</w:t>
            </w:r>
          </w:p>
        </w:tc>
      </w:tr>
      <w:tr w:rsidR="0020686D" w:rsidRPr="0020686D" w:rsidDel="00D96D04"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Del="00D96D04"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Tarnybinių stočių diegimo paslaugos (paslaugų kaina įskaitoma į pasiūlymo kainą)</w:t>
            </w:r>
          </w:p>
        </w:tc>
        <w:tc>
          <w:tcPr>
            <w:tcW w:w="6513" w:type="dxa"/>
            <w:shd w:val="clear" w:color="auto" w:fill="auto"/>
          </w:tcPr>
          <w:p w:rsidR="0020686D" w:rsidRPr="0020686D" w:rsidDel="00D96D04"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Turi būti atliktas įrangos montavimas ir parengimas darbui, sisteminės programinės įrangos (Firmware), valdymo programinės įrangos atnaujinimas. Įrangos diegimą turi atlikti gamintojo specialistai arba sertifikuoti partnerio specialistai, turintys teisę atlikti tokius diegimo darbus. Įdiegus, sistema turi būti sukonfigūruota taip, kad gamintojo nuotolinio serviso centrui 24x7 režimu, būtų siunčiami pranešimai apie įrangos techninę būklę.</w:t>
            </w:r>
          </w:p>
        </w:tc>
      </w:tr>
      <w:tr w:rsidR="0020686D" w:rsidRPr="0020686D" w:rsidDel="00D96D04" w:rsidTr="0020686D">
        <w:tc>
          <w:tcPr>
            <w:tcW w:w="570" w:type="dxa"/>
            <w:shd w:val="clear" w:color="auto" w:fill="auto"/>
          </w:tcPr>
          <w:p w:rsidR="0020686D" w:rsidRPr="0020686D" w:rsidRDefault="0020686D" w:rsidP="007D38EA">
            <w:pPr>
              <w:numPr>
                <w:ilvl w:val="0"/>
                <w:numId w:val="7"/>
              </w:numPr>
              <w:tabs>
                <w:tab w:val="left" w:pos="1089"/>
              </w:tabs>
              <w:spacing w:after="0" w:line="240" w:lineRule="auto"/>
              <w:ind w:left="0" w:firstLine="0"/>
              <w:jc w:val="left"/>
              <w:rPr>
                <w:rFonts w:ascii="Times New Roman" w:hAnsi="Times New Roman" w:cs="Times New Roman"/>
                <w:sz w:val="24"/>
                <w:szCs w:val="24"/>
              </w:rPr>
            </w:pPr>
          </w:p>
        </w:tc>
        <w:tc>
          <w:tcPr>
            <w:tcW w:w="2551" w:type="dxa"/>
            <w:shd w:val="clear" w:color="auto" w:fill="auto"/>
          </w:tcPr>
          <w:p w:rsidR="0020686D" w:rsidRPr="0020686D" w:rsidRDefault="0020686D" w:rsidP="007D38EA">
            <w:pPr>
              <w:tabs>
                <w:tab w:val="left" w:pos="1089"/>
              </w:tabs>
              <w:spacing w:after="0" w:line="240" w:lineRule="auto"/>
              <w:jc w:val="left"/>
              <w:rPr>
                <w:rFonts w:ascii="Times New Roman" w:hAnsi="Times New Roman" w:cs="Times New Roman"/>
                <w:sz w:val="24"/>
                <w:szCs w:val="24"/>
              </w:rPr>
            </w:pPr>
            <w:r w:rsidRPr="0020686D">
              <w:rPr>
                <w:rFonts w:ascii="Times New Roman" w:hAnsi="Times New Roman" w:cs="Times New Roman"/>
                <w:sz w:val="24"/>
                <w:szCs w:val="24"/>
              </w:rPr>
              <w:t>Garantinis aptarnavimas</w:t>
            </w:r>
          </w:p>
        </w:tc>
        <w:tc>
          <w:tcPr>
            <w:tcW w:w="6513" w:type="dxa"/>
            <w:shd w:val="clear" w:color="auto" w:fill="auto"/>
          </w:tcPr>
          <w:p w:rsidR="0020686D" w:rsidRPr="0020686D" w:rsidRDefault="0020686D" w:rsidP="007D38EA">
            <w:pPr>
              <w:tabs>
                <w:tab w:val="left" w:pos="1089"/>
              </w:tabs>
              <w:spacing w:after="0" w:line="240" w:lineRule="auto"/>
              <w:rPr>
                <w:rFonts w:ascii="Times New Roman" w:hAnsi="Times New Roman" w:cs="Times New Roman"/>
                <w:sz w:val="24"/>
                <w:szCs w:val="24"/>
              </w:rPr>
            </w:pPr>
            <w:r w:rsidRPr="0020686D">
              <w:rPr>
                <w:rFonts w:ascii="Times New Roman" w:hAnsi="Times New Roman" w:cs="Times New Roman"/>
                <w:sz w:val="24"/>
                <w:szCs w:val="24"/>
              </w:rPr>
              <w:t>Ne mažiau kaip 36 mėn., darbo dienomis, darbo valandomis (9x5, angl. “Next Business Day”) įrangos eksploatavimo vietoje, suteikiama ir atliekama paties įrangos gamintojo arba jo autorizuoto serviso centro atstovo. Visi aukščiau išvardinti reikalavimai privalo būti garantuojami įrangos gamintojo. Turi būti gamintojo priešlaikinė garantija (angl. ,,Pre-Failure Warranty“) procesoriui, operatyvinei atminčiai ir diskams. Į garantinį aptarnavimą įeina nemokami remonto darbai ir nemokamas sugedusių komponentų pakeitimas.</w:t>
            </w:r>
          </w:p>
        </w:tc>
      </w:tr>
    </w:tbl>
    <w:tbl>
      <w:tblPr>
        <w:tblpPr w:leftFromText="180" w:rightFromText="180" w:vertAnchor="text" w:horzAnchor="margin" w:tblpY="101"/>
        <w:tblW w:w="9676" w:type="dxa"/>
        <w:tblLook w:val="0000" w:firstRow="0" w:lastRow="0" w:firstColumn="0" w:lastColumn="0" w:noHBand="0" w:noVBand="0"/>
      </w:tblPr>
      <w:tblGrid>
        <w:gridCol w:w="4977"/>
        <w:gridCol w:w="4699"/>
      </w:tblGrid>
      <w:tr w:rsidR="003E7D53" w:rsidRPr="003E7D53" w:rsidTr="007D38EA">
        <w:trPr>
          <w:trHeight w:val="2234"/>
        </w:trPr>
        <w:tc>
          <w:tcPr>
            <w:tcW w:w="4977" w:type="dxa"/>
            <w:shd w:val="clear" w:color="auto" w:fill="auto"/>
          </w:tcPr>
          <w:p w:rsidR="003E7D53" w:rsidRPr="00DD3A48" w:rsidRDefault="003E7D53" w:rsidP="007D38EA">
            <w:pPr>
              <w:spacing w:after="0"/>
              <w:rPr>
                <w:rFonts w:ascii="Times New Roman" w:hAnsi="Times New Roman" w:cs="Times New Roman"/>
                <w:b/>
                <w:sz w:val="24"/>
                <w:szCs w:val="24"/>
              </w:rPr>
            </w:pPr>
            <w:r w:rsidRPr="00DD3A48">
              <w:rPr>
                <w:rFonts w:ascii="Times New Roman" w:hAnsi="Times New Roman" w:cs="Times New Roman"/>
                <w:b/>
                <w:sz w:val="24"/>
                <w:szCs w:val="24"/>
              </w:rPr>
              <w:t>PIRKĖJAS</w:t>
            </w:r>
          </w:p>
          <w:p w:rsidR="003E7D53" w:rsidRPr="00DD3A48" w:rsidRDefault="003E7D53" w:rsidP="007D38EA">
            <w:pPr>
              <w:spacing w:after="0"/>
              <w:rPr>
                <w:rFonts w:ascii="Times New Roman" w:hAnsi="Times New Roman" w:cs="Times New Roman"/>
                <w:b/>
                <w:sz w:val="24"/>
                <w:szCs w:val="24"/>
              </w:rPr>
            </w:pPr>
          </w:p>
          <w:p w:rsidR="003E7D53" w:rsidRPr="00DD3A48" w:rsidRDefault="003E7D53" w:rsidP="007D38EA">
            <w:pPr>
              <w:tabs>
                <w:tab w:val="left" w:pos="11"/>
              </w:tabs>
              <w:spacing w:after="0"/>
              <w:rPr>
                <w:rFonts w:ascii="Times New Roman" w:hAnsi="Times New Roman" w:cs="Times New Roman"/>
                <w:b/>
                <w:bCs/>
                <w:sz w:val="24"/>
                <w:szCs w:val="24"/>
              </w:rPr>
            </w:pPr>
            <w:r w:rsidRPr="00DD3A48">
              <w:rPr>
                <w:rFonts w:ascii="Times New Roman" w:hAnsi="Times New Roman" w:cs="Times New Roman"/>
                <w:b/>
                <w:bCs/>
                <w:sz w:val="24"/>
                <w:szCs w:val="24"/>
              </w:rPr>
              <w:t xml:space="preserve">Informatikos ir ryšių departamentas </w:t>
            </w:r>
          </w:p>
          <w:p w:rsidR="003E7D53" w:rsidRPr="00DD3A48" w:rsidRDefault="003E7D53" w:rsidP="007D38EA">
            <w:pPr>
              <w:tabs>
                <w:tab w:val="left" w:pos="11"/>
              </w:tabs>
              <w:spacing w:after="0"/>
              <w:rPr>
                <w:rFonts w:ascii="Times New Roman" w:hAnsi="Times New Roman" w:cs="Times New Roman"/>
                <w:b/>
                <w:bCs/>
                <w:sz w:val="24"/>
                <w:szCs w:val="24"/>
              </w:rPr>
            </w:pPr>
            <w:r w:rsidRPr="00DD3A48">
              <w:rPr>
                <w:rFonts w:ascii="Times New Roman" w:hAnsi="Times New Roman" w:cs="Times New Roman"/>
                <w:b/>
                <w:bCs/>
                <w:sz w:val="24"/>
                <w:szCs w:val="24"/>
              </w:rPr>
              <w:t xml:space="preserve">prie Lietuvos Respublikos </w:t>
            </w:r>
          </w:p>
          <w:p w:rsidR="003E7D53" w:rsidRPr="00DD3A48" w:rsidRDefault="003E7D53" w:rsidP="007D38EA">
            <w:pPr>
              <w:tabs>
                <w:tab w:val="left" w:pos="11"/>
              </w:tabs>
              <w:spacing w:after="0"/>
              <w:rPr>
                <w:rFonts w:ascii="Times New Roman" w:hAnsi="Times New Roman" w:cs="Times New Roman"/>
                <w:b/>
                <w:bCs/>
                <w:sz w:val="24"/>
                <w:szCs w:val="24"/>
              </w:rPr>
            </w:pPr>
            <w:r w:rsidRPr="00DD3A48">
              <w:rPr>
                <w:rFonts w:ascii="Times New Roman" w:hAnsi="Times New Roman" w:cs="Times New Roman"/>
                <w:b/>
                <w:bCs/>
                <w:sz w:val="24"/>
                <w:szCs w:val="24"/>
              </w:rPr>
              <w:t>vidaus reikalų ministerijos</w:t>
            </w:r>
          </w:p>
          <w:p w:rsidR="003E7D53" w:rsidRPr="00DD3A48" w:rsidRDefault="003E7D53" w:rsidP="007D38EA">
            <w:pPr>
              <w:spacing w:after="0"/>
              <w:rPr>
                <w:rFonts w:ascii="Times New Roman" w:hAnsi="Times New Roman" w:cs="Times New Roman"/>
                <w:sz w:val="24"/>
                <w:szCs w:val="24"/>
              </w:rPr>
            </w:pPr>
          </w:p>
          <w:p w:rsidR="00DD3A48" w:rsidRDefault="00DD3A48" w:rsidP="007D38EA">
            <w:pPr>
              <w:spacing w:after="0"/>
              <w:rPr>
                <w:rFonts w:ascii="Times New Roman" w:hAnsi="Times New Roman" w:cs="Times New Roman"/>
                <w:sz w:val="24"/>
                <w:szCs w:val="24"/>
              </w:rPr>
            </w:pPr>
          </w:p>
          <w:p w:rsidR="00DD3A48" w:rsidRDefault="00DD3A48" w:rsidP="007D38EA">
            <w:pPr>
              <w:spacing w:after="0"/>
              <w:rPr>
                <w:rFonts w:ascii="Times New Roman" w:hAnsi="Times New Roman" w:cs="Times New Roman"/>
                <w:sz w:val="24"/>
                <w:szCs w:val="24"/>
              </w:rPr>
            </w:pPr>
          </w:p>
          <w:p w:rsidR="003E7D53" w:rsidRPr="00DD3A48" w:rsidRDefault="003E7D53" w:rsidP="007D38EA">
            <w:pPr>
              <w:spacing w:after="0"/>
              <w:rPr>
                <w:rFonts w:ascii="Times New Roman" w:hAnsi="Times New Roman" w:cs="Times New Roman"/>
                <w:sz w:val="24"/>
                <w:szCs w:val="24"/>
              </w:rPr>
            </w:pPr>
            <w:r w:rsidRPr="00DD3A48">
              <w:rPr>
                <w:rFonts w:ascii="Times New Roman" w:hAnsi="Times New Roman" w:cs="Times New Roman"/>
                <w:sz w:val="24"/>
                <w:szCs w:val="24"/>
              </w:rPr>
              <w:t>Direktori</w:t>
            </w:r>
            <w:r w:rsidR="005F74C7">
              <w:rPr>
                <w:rFonts w:ascii="Times New Roman" w:hAnsi="Times New Roman" w:cs="Times New Roman"/>
                <w:sz w:val="24"/>
                <w:szCs w:val="24"/>
              </w:rPr>
              <w:t>a</w:t>
            </w:r>
            <w:r w:rsidRPr="00DD3A48">
              <w:rPr>
                <w:rFonts w:ascii="Times New Roman" w:hAnsi="Times New Roman" w:cs="Times New Roman"/>
                <w:sz w:val="24"/>
                <w:szCs w:val="24"/>
              </w:rPr>
              <w:t>us</w:t>
            </w:r>
            <w:r w:rsidR="005F74C7">
              <w:rPr>
                <w:rFonts w:ascii="Times New Roman" w:hAnsi="Times New Roman" w:cs="Times New Roman"/>
                <w:sz w:val="24"/>
                <w:szCs w:val="24"/>
              </w:rPr>
              <w:t xml:space="preserve"> pavaduotoja</w:t>
            </w:r>
          </w:p>
          <w:p w:rsidR="003E7D53" w:rsidRPr="00DD3A48" w:rsidRDefault="003E7D53" w:rsidP="007D38EA">
            <w:pPr>
              <w:pStyle w:val="ListParagraph"/>
              <w:spacing w:after="0"/>
              <w:ind w:left="0" w:right="340"/>
              <w:rPr>
                <w:rFonts w:ascii="Times New Roman" w:hAnsi="Times New Roman" w:cs="Times New Roman"/>
                <w:sz w:val="24"/>
                <w:szCs w:val="24"/>
              </w:rPr>
            </w:pPr>
            <w:r w:rsidRPr="00DD3A48">
              <w:rPr>
                <w:rFonts w:ascii="Times New Roman" w:hAnsi="Times New Roman" w:cs="Times New Roman"/>
                <w:sz w:val="24"/>
                <w:szCs w:val="24"/>
              </w:rPr>
              <w:t xml:space="preserve">                                          </w:t>
            </w:r>
          </w:p>
          <w:p w:rsidR="003E7D53" w:rsidRPr="00DD3A48" w:rsidRDefault="005F74C7" w:rsidP="007D38EA">
            <w:pPr>
              <w:spacing w:after="0"/>
              <w:ind w:right="175"/>
              <w:rPr>
                <w:rFonts w:ascii="Times New Roman" w:hAnsi="Times New Roman" w:cs="Times New Roman"/>
                <w:sz w:val="24"/>
                <w:szCs w:val="24"/>
              </w:rPr>
            </w:pPr>
            <w:r>
              <w:rPr>
                <w:rFonts w:ascii="Times New Roman" w:hAnsi="Times New Roman" w:cs="Times New Roman"/>
                <w:sz w:val="24"/>
                <w:szCs w:val="24"/>
              </w:rPr>
              <w:t>Alvyda Pupkovienė</w:t>
            </w:r>
          </w:p>
        </w:tc>
        <w:tc>
          <w:tcPr>
            <w:tcW w:w="4699" w:type="dxa"/>
            <w:shd w:val="clear" w:color="auto" w:fill="auto"/>
          </w:tcPr>
          <w:p w:rsidR="003E7D53" w:rsidRPr="00DD3A48" w:rsidRDefault="003E7D53" w:rsidP="007D38EA">
            <w:pPr>
              <w:spacing w:after="0"/>
              <w:rPr>
                <w:rFonts w:ascii="Times New Roman" w:hAnsi="Times New Roman" w:cs="Times New Roman"/>
                <w:b/>
                <w:sz w:val="24"/>
                <w:szCs w:val="24"/>
              </w:rPr>
            </w:pPr>
            <w:r w:rsidRPr="00DD3A48">
              <w:rPr>
                <w:rFonts w:ascii="Times New Roman" w:hAnsi="Times New Roman" w:cs="Times New Roman"/>
                <w:b/>
                <w:sz w:val="24"/>
                <w:szCs w:val="24"/>
              </w:rPr>
              <w:t>PARDAVĖJAS</w:t>
            </w:r>
          </w:p>
          <w:p w:rsidR="003E7D53" w:rsidRPr="00DD3A48" w:rsidRDefault="003E7D53" w:rsidP="007D38EA">
            <w:pPr>
              <w:spacing w:after="0"/>
              <w:rPr>
                <w:rFonts w:ascii="Times New Roman" w:hAnsi="Times New Roman" w:cs="Times New Roman"/>
                <w:b/>
                <w:sz w:val="24"/>
                <w:szCs w:val="24"/>
              </w:rPr>
            </w:pPr>
          </w:p>
          <w:p w:rsidR="003E7D53" w:rsidRPr="00DD3A48" w:rsidRDefault="00DD3A48" w:rsidP="00DD3A48">
            <w:pPr>
              <w:spacing w:line="276" w:lineRule="auto"/>
              <w:rPr>
                <w:rFonts w:ascii="Times New Roman" w:hAnsi="Times New Roman" w:cs="Times New Roman"/>
                <w:sz w:val="24"/>
                <w:szCs w:val="24"/>
              </w:rPr>
            </w:pPr>
            <w:r w:rsidRPr="00DD3A48">
              <w:rPr>
                <w:rFonts w:ascii="Times New Roman" w:hAnsi="Times New Roman" w:cs="Times New Roman"/>
                <w:b/>
                <w:bCs/>
                <w:sz w:val="24"/>
                <w:szCs w:val="24"/>
              </w:rPr>
              <w:t xml:space="preserve">Ūkio subjektų grupė, sudaryta iš </w:t>
            </w:r>
            <w:r w:rsidRPr="00DD3A48">
              <w:rPr>
                <w:rFonts w:ascii="Times New Roman" w:hAnsi="Times New Roman" w:cs="Times New Roman"/>
                <w:b/>
                <w:bCs/>
                <w:iCs/>
                <w:sz w:val="24"/>
                <w:szCs w:val="24"/>
              </w:rPr>
              <w:t xml:space="preserve">UAB „Blue Bridge MSP“ </w:t>
            </w:r>
            <w:r w:rsidRPr="00DD3A48">
              <w:rPr>
                <w:rFonts w:ascii="Times New Roman" w:hAnsi="Times New Roman" w:cs="Times New Roman"/>
                <w:b/>
                <w:bCs/>
                <w:sz w:val="24"/>
                <w:szCs w:val="24"/>
              </w:rPr>
              <w:t xml:space="preserve"> ir</w:t>
            </w:r>
            <w:r w:rsidRPr="00DD3A48">
              <w:rPr>
                <w:rFonts w:ascii="Times New Roman" w:hAnsi="Times New Roman" w:cs="Times New Roman"/>
                <w:b/>
                <w:bCs/>
                <w:iCs/>
                <w:sz w:val="24"/>
                <w:szCs w:val="24"/>
              </w:rPr>
              <w:t xml:space="preserve"> UAB „Blue Bridge“, </w:t>
            </w:r>
            <w:r w:rsidRPr="00DD3A48">
              <w:rPr>
                <w:rFonts w:ascii="Times New Roman" w:hAnsi="Times New Roman" w:cs="Times New Roman"/>
                <w:b/>
                <w:bCs/>
                <w:sz w:val="24"/>
                <w:szCs w:val="24"/>
              </w:rPr>
              <w:t xml:space="preserve">atstovaujama atsakingojo partnerio </w:t>
            </w:r>
            <w:r w:rsidRPr="00DD3A48">
              <w:rPr>
                <w:rFonts w:ascii="Times New Roman" w:hAnsi="Times New Roman" w:cs="Times New Roman"/>
                <w:b/>
                <w:bCs/>
                <w:iCs/>
                <w:sz w:val="24"/>
                <w:szCs w:val="24"/>
              </w:rPr>
              <w:t>UAB „Blue Bridge MSP“</w:t>
            </w:r>
          </w:p>
          <w:p w:rsidR="003E7D53" w:rsidRPr="00DD3A48" w:rsidRDefault="003E7D53" w:rsidP="007D38EA">
            <w:pPr>
              <w:spacing w:after="0"/>
              <w:rPr>
                <w:rFonts w:ascii="Times New Roman" w:hAnsi="Times New Roman" w:cs="Times New Roman"/>
                <w:sz w:val="24"/>
                <w:szCs w:val="24"/>
              </w:rPr>
            </w:pPr>
          </w:p>
          <w:p w:rsidR="003E7D53" w:rsidRPr="00DD3A48" w:rsidRDefault="003E7D53" w:rsidP="007D38EA">
            <w:pPr>
              <w:spacing w:after="0"/>
              <w:rPr>
                <w:rFonts w:ascii="Times New Roman" w:hAnsi="Times New Roman" w:cs="Times New Roman"/>
                <w:sz w:val="24"/>
                <w:szCs w:val="24"/>
              </w:rPr>
            </w:pPr>
            <w:r w:rsidRPr="00DD3A48">
              <w:rPr>
                <w:rFonts w:ascii="Times New Roman" w:hAnsi="Times New Roman" w:cs="Times New Roman"/>
                <w:sz w:val="24"/>
                <w:szCs w:val="24"/>
              </w:rPr>
              <w:t>Direktorius</w:t>
            </w:r>
          </w:p>
          <w:p w:rsidR="003E7D53" w:rsidRPr="00DD3A48" w:rsidRDefault="003E7D53" w:rsidP="007D38EA">
            <w:pPr>
              <w:spacing w:after="0"/>
              <w:rPr>
                <w:rFonts w:ascii="Times New Roman" w:hAnsi="Times New Roman" w:cs="Times New Roman"/>
                <w:sz w:val="24"/>
                <w:szCs w:val="24"/>
              </w:rPr>
            </w:pPr>
          </w:p>
          <w:p w:rsidR="003E7D53" w:rsidRPr="00DD3A48" w:rsidRDefault="003E7D53" w:rsidP="007D38EA">
            <w:pPr>
              <w:spacing w:after="0"/>
              <w:rPr>
                <w:rFonts w:ascii="Times New Roman" w:hAnsi="Times New Roman" w:cs="Times New Roman"/>
                <w:sz w:val="24"/>
                <w:szCs w:val="24"/>
              </w:rPr>
            </w:pPr>
            <w:r w:rsidRPr="00DD3A48">
              <w:rPr>
                <w:rFonts w:ascii="Times New Roman" w:hAnsi="Times New Roman" w:cs="Times New Roman"/>
                <w:sz w:val="24"/>
                <w:szCs w:val="24"/>
              </w:rPr>
              <w:t>Dalius Butkus</w:t>
            </w:r>
          </w:p>
        </w:tc>
      </w:tr>
    </w:tbl>
    <w:p w:rsidR="00F93FC3" w:rsidRDefault="00F93FC3"/>
    <w:sectPr w:rsidR="00F93FC3" w:rsidSect="0020686D">
      <w:headerReference w:type="default" r:id="rId11"/>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13" w:rsidRDefault="00230C13" w:rsidP="0020686D">
      <w:pPr>
        <w:spacing w:after="0" w:line="240" w:lineRule="auto"/>
      </w:pPr>
      <w:r>
        <w:separator/>
      </w:r>
    </w:p>
  </w:endnote>
  <w:endnote w:type="continuationSeparator" w:id="0">
    <w:p w:rsidR="00230C13" w:rsidRDefault="00230C13" w:rsidP="0020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13" w:rsidRDefault="00230C13" w:rsidP="0020686D">
      <w:pPr>
        <w:spacing w:after="0" w:line="240" w:lineRule="auto"/>
      </w:pPr>
      <w:r>
        <w:separator/>
      </w:r>
    </w:p>
  </w:footnote>
  <w:footnote w:type="continuationSeparator" w:id="0">
    <w:p w:rsidR="00230C13" w:rsidRDefault="00230C13" w:rsidP="00206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761191"/>
      <w:docPartObj>
        <w:docPartGallery w:val="Page Numbers (Top of Page)"/>
        <w:docPartUnique/>
      </w:docPartObj>
    </w:sdtPr>
    <w:sdtEndPr/>
    <w:sdtContent>
      <w:p w:rsidR="0020686D" w:rsidRDefault="0020686D">
        <w:pPr>
          <w:pStyle w:val="Header"/>
          <w:jc w:val="center"/>
        </w:pPr>
        <w:r>
          <w:fldChar w:fldCharType="begin"/>
        </w:r>
        <w:r>
          <w:instrText>PAGE   \* MERGEFORMAT</w:instrText>
        </w:r>
        <w:r>
          <w:fldChar w:fldCharType="separate"/>
        </w:r>
        <w:r w:rsidR="00D24B9D">
          <w:rPr>
            <w:noProof/>
          </w:rPr>
          <w:t>4</w:t>
        </w:r>
        <w:r>
          <w:fldChar w:fldCharType="end"/>
        </w:r>
      </w:p>
    </w:sdtContent>
  </w:sdt>
  <w:p w:rsidR="0020686D" w:rsidRDefault="00206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213"/>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91EC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1131DC"/>
    <w:multiLevelType w:val="hybridMultilevel"/>
    <w:tmpl w:val="DE5029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BB77251"/>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380BE1"/>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6" w15:restartNumberingAfterBreak="0">
    <w:nsid w:val="78CE5223"/>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6D"/>
    <w:rsid w:val="0020686D"/>
    <w:rsid w:val="00230C13"/>
    <w:rsid w:val="003E7D53"/>
    <w:rsid w:val="0044748C"/>
    <w:rsid w:val="005F74C7"/>
    <w:rsid w:val="006A5D2C"/>
    <w:rsid w:val="00775AF8"/>
    <w:rsid w:val="00912348"/>
    <w:rsid w:val="009F55D6"/>
    <w:rsid w:val="00AE6D57"/>
    <w:rsid w:val="00D24B9D"/>
    <w:rsid w:val="00DD3A48"/>
    <w:rsid w:val="00EF54C9"/>
    <w:rsid w:val="00F93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99A3E-2242-4DAB-BC67-10512139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86D"/>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nhideWhenUsed/>
    <w:rsid w:val="0020686D"/>
    <w:rPr>
      <w:color w:val="0563C1" w:themeColor="hyperlink"/>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20686D"/>
    <w:pPr>
      <w:ind w:left="720"/>
      <w:contextualSpacing/>
    </w:p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20686D"/>
    <w:rPr>
      <w:rFonts w:eastAsiaTheme="minorEastAsia"/>
    </w:rPr>
  </w:style>
  <w:style w:type="paragraph" w:customStyle="1" w:styleId="Skyriauspavadinimas">
    <w:name w:val="Skyriaus pavadinimas"/>
    <w:basedOn w:val="Normal"/>
    <w:rsid w:val="0020686D"/>
    <w:pPr>
      <w:numPr>
        <w:numId w:val="1"/>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Style4">
    <w:name w:val="Style4"/>
    <w:basedOn w:val="Normal"/>
    <w:link w:val="Style4CharChar"/>
    <w:rsid w:val="0020686D"/>
    <w:pPr>
      <w:spacing w:after="0" w:line="240" w:lineRule="auto"/>
    </w:pPr>
    <w:rPr>
      <w:rFonts w:ascii="Times New Roman" w:eastAsia="Times New Roman" w:hAnsi="Times New Roman" w:cs="Times New Roman"/>
      <w:sz w:val="24"/>
      <w:szCs w:val="24"/>
      <w:lang w:val="en-GB"/>
    </w:rPr>
  </w:style>
  <w:style w:type="character" w:customStyle="1" w:styleId="Style4CharChar">
    <w:name w:val="Style4 Char Char"/>
    <w:link w:val="Style4"/>
    <w:rsid w:val="0020686D"/>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068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686D"/>
    <w:rPr>
      <w:rFonts w:eastAsiaTheme="minorEastAsia"/>
    </w:rPr>
  </w:style>
  <w:style w:type="paragraph" w:styleId="Footer">
    <w:name w:val="footer"/>
    <w:basedOn w:val="Normal"/>
    <w:link w:val="FooterChar"/>
    <w:uiPriority w:val="99"/>
    <w:unhideWhenUsed/>
    <w:rsid w:val="0020686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686D"/>
    <w:rPr>
      <w:rFonts w:eastAsiaTheme="minorEastAsia"/>
    </w:rPr>
  </w:style>
  <w:style w:type="paragraph" w:customStyle="1" w:styleId="Default">
    <w:name w:val="Default"/>
    <w:rsid w:val="003E7D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pec.org" TargetMode="External"/><Relationship Id="rId4" Type="http://schemas.openxmlformats.org/officeDocument/2006/relationships/webSettings" Target="webSettings.xml"/><Relationship Id="rId9" Type="http://schemas.openxmlformats.org/officeDocument/2006/relationships/hyperlink" Target="https://www.spec.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4834</Words>
  <Characters>27559</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32329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Algimantas Stapčinskas</cp:lastModifiedBy>
  <cp:revision>2</cp:revision>
  <dcterms:created xsi:type="dcterms:W3CDTF">2021-08-16T09:12:00Z</dcterms:created>
  <dcterms:modified xsi:type="dcterms:W3CDTF">2021-08-16T09:12:00Z</dcterms:modified>
</cp:coreProperties>
</file>