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099D" w:rsidRDefault="0004099D" w:rsidP="0004099D">
      <w:pPr>
        <w:tabs>
          <w:tab w:val="left" w:pos="4111"/>
        </w:tabs>
        <w:spacing w:after="0" w:line="240" w:lineRule="auto"/>
        <w:rPr>
          <w:lang w:val="lt-LT"/>
        </w:rPr>
      </w:pPr>
    </w:p>
    <w:p w:rsidR="0004099D" w:rsidRDefault="0004099D" w:rsidP="0004099D">
      <w:pPr>
        <w:tabs>
          <w:tab w:val="left" w:pos="4111"/>
        </w:tabs>
        <w:spacing w:after="0" w:line="240" w:lineRule="auto"/>
        <w:rPr>
          <w:lang w:val="lt-LT"/>
        </w:rPr>
      </w:pPr>
    </w:p>
    <w:p w:rsidR="0004099D" w:rsidRPr="00570934" w:rsidRDefault="0004099D" w:rsidP="0004099D">
      <w:pPr>
        <w:tabs>
          <w:tab w:val="left" w:pos="4111"/>
        </w:tabs>
        <w:spacing w:after="0" w:line="240" w:lineRule="auto"/>
        <w:rPr>
          <w:lang w:val="lt-LT"/>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20"/>
        <w:gridCol w:w="1162"/>
        <w:gridCol w:w="114"/>
        <w:gridCol w:w="28"/>
        <w:gridCol w:w="283"/>
        <w:gridCol w:w="114"/>
        <w:gridCol w:w="28"/>
        <w:gridCol w:w="3090"/>
      </w:tblGrid>
      <w:tr w:rsidR="00AC7943" w:rsidRPr="00AC6FD1" w:rsidTr="00B02489">
        <w:trPr>
          <w:cantSplit/>
        </w:trPr>
        <w:tc>
          <w:tcPr>
            <w:tcW w:w="4820" w:type="dxa"/>
            <w:vMerge w:val="restart"/>
          </w:tcPr>
          <w:p w:rsidR="00AB2A4C" w:rsidRPr="00AB2A4C" w:rsidRDefault="00AB2A4C" w:rsidP="00AB2A4C">
            <w:pPr>
              <w:rPr>
                <w:bCs/>
                <w:szCs w:val="24"/>
                <w:lang w:val="lt-LT"/>
              </w:rPr>
            </w:pPr>
            <w:r w:rsidRPr="00AB2A4C">
              <w:rPr>
                <w:bCs/>
                <w:szCs w:val="24"/>
                <w:lang w:val="lt-LT"/>
              </w:rPr>
              <w:t>UAB ,,Netcode”</w:t>
            </w:r>
          </w:p>
          <w:p w:rsidR="00AB2A4C" w:rsidRPr="00AB2A4C" w:rsidRDefault="00AB2A4C" w:rsidP="00AB2A4C">
            <w:pPr>
              <w:rPr>
                <w:bCs/>
                <w:szCs w:val="24"/>
                <w:lang w:val="lt-LT"/>
              </w:rPr>
            </w:pPr>
            <w:r>
              <w:rPr>
                <w:szCs w:val="24"/>
              </w:rPr>
              <w:t xml:space="preserve">El. p. </w:t>
            </w:r>
            <w:hyperlink r:id="rId8" w:history="1">
              <w:r w:rsidRPr="00AB2A4C">
                <w:rPr>
                  <w:rStyle w:val="Hipersaitas"/>
                  <w:bCs/>
                  <w:szCs w:val="24"/>
                  <w:lang w:val="lt-LT"/>
                </w:rPr>
                <w:t>info@netcode.lt</w:t>
              </w:r>
            </w:hyperlink>
          </w:p>
          <w:p w:rsidR="00AB2A4C" w:rsidRPr="00AB2A4C" w:rsidRDefault="00AB2A4C" w:rsidP="00AB2A4C">
            <w:pPr>
              <w:rPr>
                <w:bCs/>
                <w:szCs w:val="24"/>
                <w:lang w:val="lt-LT"/>
              </w:rPr>
            </w:pPr>
          </w:p>
          <w:p w:rsidR="00BB6B45" w:rsidRPr="005B3BDF" w:rsidRDefault="00BB6B45" w:rsidP="00574D8A">
            <w:pPr>
              <w:rPr>
                <w:szCs w:val="24"/>
                <w:lang w:val="lt-LT"/>
              </w:rPr>
            </w:pPr>
          </w:p>
        </w:tc>
        <w:tc>
          <w:tcPr>
            <w:tcW w:w="1162" w:type="dxa"/>
          </w:tcPr>
          <w:p w:rsidR="00AC7943" w:rsidRPr="00AC6FD1" w:rsidRDefault="00772693" w:rsidP="000749A8">
            <w:pPr>
              <w:rPr>
                <w:lang w:val="lt-LT"/>
              </w:rPr>
            </w:pPr>
            <w:r w:rsidRPr="00AC6FD1">
              <w:rPr>
                <w:lang w:val="lt-LT"/>
              </w:rPr>
              <w:t>20</w:t>
            </w:r>
            <w:r w:rsidR="004A2BFA" w:rsidRPr="00AC6FD1">
              <w:rPr>
                <w:lang w:val="lt-LT"/>
              </w:rPr>
              <w:t>2</w:t>
            </w:r>
            <w:r w:rsidR="00212818" w:rsidRPr="00AC6FD1">
              <w:rPr>
                <w:lang w:val="lt-LT"/>
              </w:rPr>
              <w:t>3</w:t>
            </w:r>
            <w:r w:rsidR="00B02489" w:rsidRPr="00AC6FD1">
              <w:rPr>
                <w:lang w:val="lt-LT"/>
              </w:rPr>
              <w:t>-</w:t>
            </w:r>
            <w:r w:rsidR="007B23D9" w:rsidRPr="00AC6FD1">
              <w:rPr>
                <w:lang w:val="lt-LT"/>
              </w:rPr>
              <w:t>0</w:t>
            </w:r>
            <w:r w:rsidR="00212818" w:rsidRPr="00AC6FD1">
              <w:rPr>
                <w:lang w:val="lt-LT"/>
              </w:rPr>
              <w:t>6</w:t>
            </w:r>
            <w:r w:rsidRPr="00AC6FD1">
              <w:rPr>
                <w:lang w:val="lt-LT"/>
              </w:rPr>
              <w:t>-</w:t>
            </w:r>
          </w:p>
        </w:tc>
        <w:tc>
          <w:tcPr>
            <w:tcW w:w="425" w:type="dxa"/>
            <w:gridSpan w:val="3"/>
          </w:tcPr>
          <w:p w:rsidR="00AC7943" w:rsidRPr="00AC6FD1" w:rsidRDefault="00AC7943" w:rsidP="00AC7943">
            <w:pPr>
              <w:jc w:val="center"/>
              <w:rPr>
                <w:lang w:val="lt-LT"/>
              </w:rPr>
            </w:pPr>
            <w:r w:rsidRPr="00AC6FD1">
              <w:rPr>
                <w:lang w:val="lt-LT"/>
              </w:rPr>
              <w:t>Nr.</w:t>
            </w:r>
          </w:p>
        </w:tc>
        <w:tc>
          <w:tcPr>
            <w:tcW w:w="3232" w:type="dxa"/>
            <w:gridSpan w:val="3"/>
            <w:noWrap/>
          </w:tcPr>
          <w:p w:rsidR="009D7D16" w:rsidRPr="00AC6FD1" w:rsidRDefault="00772693" w:rsidP="00B02489">
            <w:pPr>
              <w:rPr>
                <w:lang w:val="lt-LT"/>
              </w:rPr>
            </w:pPr>
            <w:r w:rsidRPr="00AC6FD1">
              <w:rPr>
                <w:lang w:val="lt-LT"/>
              </w:rPr>
              <w:t>(</w:t>
            </w:r>
            <w:r w:rsidR="00AB2A4C">
              <w:rPr>
                <w:lang w:val="lt-LT"/>
              </w:rPr>
              <w:t>1.15E</w:t>
            </w:r>
            <w:r w:rsidRPr="00AC6FD1">
              <w:rPr>
                <w:lang w:val="lt-LT"/>
              </w:rPr>
              <w:t>)D2-</w:t>
            </w:r>
          </w:p>
        </w:tc>
      </w:tr>
      <w:tr w:rsidR="00AC7943" w:rsidRPr="00570934" w:rsidTr="00B02489">
        <w:tc>
          <w:tcPr>
            <w:tcW w:w="4820" w:type="dxa"/>
            <w:vMerge/>
          </w:tcPr>
          <w:p w:rsidR="00AC7943" w:rsidRPr="00570934" w:rsidRDefault="00AC7943" w:rsidP="00C70F9E">
            <w:pPr>
              <w:rPr>
                <w:lang w:val="lt-LT"/>
              </w:rPr>
            </w:pPr>
          </w:p>
        </w:tc>
        <w:tc>
          <w:tcPr>
            <w:tcW w:w="1304" w:type="dxa"/>
            <w:gridSpan w:val="3"/>
          </w:tcPr>
          <w:p w:rsidR="00AC7943" w:rsidRPr="00570934" w:rsidRDefault="00AC7943" w:rsidP="00B02489">
            <w:pPr>
              <w:rPr>
                <w:lang w:val="lt-LT"/>
              </w:rPr>
            </w:pPr>
          </w:p>
        </w:tc>
        <w:tc>
          <w:tcPr>
            <w:tcW w:w="425" w:type="dxa"/>
            <w:gridSpan w:val="3"/>
          </w:tcPr>
          <w:p w:rsidR="00AC7943" w:rsidRPr="00570934" w:rsidRDefault="00AC7943" w:rsidP="00AC7943">
            <w:pPr>
              <w:jc w:val="center"/>
              <w:rPr>
                <w:lang w:val="lt-LT"/>
              </w:rPr>
            </w:pPr>
          </w:p>
        </w:tc>
        <w:tc>
          <w:tcPr>
            <w:tcW w:w="3090" w:type="dxa"/>
          </w:tcPr>
          <w:p w:rsidR="00AC7943" w:rsidRPr="00570934" w:rsidRDefault="00AC7943" w:rsidP="009D7D16">
            <w:pPr>
              <w:jc w:val="both"/>
              <w:rPr>
                <w:lang w:val="lt-LT"/>
              </w:rPr>
            </w:pPr>
          </w:p>
        </w:tc>
      </w:tr>
      <w:tr w:rsidR="00AC7943" w:rsidRPr="00570934" w:rsidTr="00B02489">
        <w:trPr>
          <w:trHeight w:val="70"/>
        </w:trPr>
        <w:tc>
          <w:tcPr>
            <w:tcW w:w="4820" w:type="dxa"/>
            <w:vMerge/>
          </w:tcPr>
          <w:p w:rsidR="00AC7943" w:rsidRPr="00AC7943" w:rsidRDefault="00AC7943">
            <w:pPr>
              <w:rPr>
                <w:i/>
                <w:lang w:val="lt-LT"/>
              </w:rPr>
            </w:pPr>
          </w:p>
        </w:tc>
        <w:tc>
          <w:tcPr>
            <w:tcW w:w="1276" w:type="dxa"/>
            <w:gridSpan w:val="2"/>
          </w:tcPr>
          <w:p w:rsidR="00AC7943" w:rsidRPr="00570934" w:rsidRDefault="00AC7943">
            <w:pPr>
              <w:rPr>
                <w:lang w:val="lt-LT"/>
              </w:rPr>
            </w:pPr>
          </w:p>
        </w:tc>
        <w:tc>
          <w:tcPr>
            <w:tcW w:w="425" w:type="dxa"/>
            <w:gridSpan w:val="3"/>
          </w:tcPr>
          <w:p w:rsidR="00AC7943" w:rsidRPr="00570934" w:rsidRDefault="00AC7943">
            <w:pPr>
              <w:rPr>
                <w:lang w:val="lt-LT"/>
              </w:rPr>
            </w:pPr>
          </w:p>
        </w:tc>
        <w:tc>
          <w:tcPr>
            <w:tcW w:w="3118" w:type="dxa"/>
            <w:gridSpan w:val="2"/>
          </w:tcPr>
          <w:p w:rsidR="00AC7943" w:rsidRPr="00570934" w:rsidRDefault="00AC7943" w:rsidP="009D7D16">
            <w:pPr>
              <w:jc w:val="both"/>
              <w:rPr>
                <w:lang w:val="lt-LT"/>
              </w:rPr>
            </w:pPr>
          </w:p>
        </w:tc>
      </w:tr>
    </w:tbl>
    <w:p w:rsidR="00027286" w:rsidRPr="002D4E70" w:rsidRDefault="00AB2A4C">
      <w:pPr>
        <w:rPr>
          <w:lang w:val="lt-LT"/>
        </w:rPr>
      </w:pPr>
      <w:r w:rsidRPr="002D4E70">
        <w:rPr>
          <w:lang w:val="lt-LT"/>
        </w:rPr>
        <w:t xml:space="preserve"> </w:t>
      </w:r>
    </w:p>
    <w:tbl>
      <w:tblPr>
        <w:tblW w:w="0" w:type="auto"/>
        <w:tblCellMar>
          <w:left w:w="0" w:type="dxa"/>
          <w:right w:w="28" w:type="dxa"/>
        </w:tblCellMar>
        <w:tblLook w:val="04A0" w:firstRow="1" w:lastRow="0" w:firstColumn="1" w:lastColumn="0" w:noHBand="0" w:noVBand="1"/>
      </w:tblPr>
      <w:tblGrid>
        <w:gridCol w:w="9287"/>
      </w:tblGrid>
      <w:tr w:rsidR="00574D8A" w:rsidRPr="00915D22" w:rsidTr="00FF7097">
        <w:trPr>
          <w:cantSplit/>
        </w:trPr>
        <w:tc>
          <w:tcPr>
            <w:tcW w:w="9287" w:type="dxa"/>
            <w:hideMark/>
          </w:tcPr>
          <w:p w:rsidR="002D4E70" w:rsidRDefault="002D4E70" w:rsidP="00FF7097">
            <w:pPr>
              <w:rPr>
                <w:b/>
                <w:szCs w:val="24"/>
              </w:rPr>
            </w:pPr>
          </w:p>
          <w:p w:rsidR="00574D8A" w:rsidRPr="00915D22" w:rsidRDefault="00574D8A" w:rsidP="00FF7097">
            <w:pPr>
              <w:rPr>
                <w:b/>
                <w:bCs/>
                <w:szCs w:val="24"/>
              </w:rPr>
            </w:pPr>
            <w:r w:rsidRPr="00915D22">
              <w:rPr>
                <w:b/>
                <w:szCs w:val="24"/>
              </w:rPr>
              <w:t>DĖ</w:t>
            </w:r>
            <w:r w:rsidR="006C49FC">
              <w:rPr>
                <w:b/>
                <w:szCs w:val="24"/>
              </w:rPr>
              <w:t>L</w:t>
            </w:r>
            <w:r w:rsidR="00C83DCE">
              <w:rPr>
                <w:b/>
                <w:szCs w:val="24"/>
              </w:rPr>
              <w:t xml:space="preserve"> ĮVYKDYTOS SUTARTIES</w:t>
            </w:r>
          </w:p>
        </w:tc>
      </w:tr>
    </w:tbl>
    <w:p w:rsidR="00C83DCE" w:rsidRPr="00C83DCE" w:rsidRDefault="00C83DCE" w:rsidP="00C83DCE">
      <w:pPr>
        <w:ind w:right="283" w:firstLine="720"/>
        <w:jc w:val="both"/>
        <w:rPr>
          <w:szCs w:val="24"/>
          <w:lang w:val="lt-LT"/>
        </w:rPr>
      </w:pPr>
      <w:r w:rsidRPr="00C83DCE">
        <w:rPr>
          <w:szCs w:val="24"/>
          <w:lang w:val="lt-LT"/>
        </w:rPr>
        <w:t xml:space="preserve">Pažymime, kad UAB „Netcode“ laikotarpiu nuo 2021 m. rugsėjo 10 d. iki 2022 m. gruodžio 15 d. sėkmingai įvykdė </w:t>
      </w:r>
      <w:r w:rsidRPr="00C83DCE">
        <w:rPr>
          <w:b/>
          <w:bCs/>
          <w:szCs w:val="24"/>
          <w:lang w:val="lt-LT"/>
        </w:rPr>
        <w:t>Sutartį dėl nemokumo procesų info</w:t>
      </w:r>
      <w:r w:rsidR="00236640">
        <w:rPr>
          <w:b/>
          <w:bCs/>
          <w:szCs w:val="24"/>
          <w:lang w:val="lt-LT"/>
        </w:rPr>
        <w:t>r</w:t>
      </w:r>
      <w:r w:rsidRPr="00C83DCE">
        <w:rPr>
          <w:b/>
          <w:bCs/>
          <w:szCs w:val="24"/>
          <w:lang w:val="lt-LT"/>
        </w:rPr>
        <w:t>macinio portalo sukūrimo pasla</w:t>
      </w:r>
      <w:r w:rsidR="00236640">
        <w:rPr>
          <w:b/>
          <w:bCs/>
          <w:szCs w:val="24"/>
          <w:lang w:val="lt-LT"/>
        </w:rPr>
        <w:t>u</w:t>
      </w:r>
      <w:r w:rsidRPr="00C83DCE">
        <w:rPr>
          <w:b/>
          <w:bCs/>
          <w:szCs w:val="24"/>
          <w:lang w:val="lt-LT"/>
        </w:rPr>
        <w:t>gų Nr. P5-12</w:t>
      </w:r>
      <w:r w:rsidRPr="00C83DCE">
        <w:rPr>
          <w:szCs w:val="24"/>
          <w:lang w:val="lt-LT"/>
        </w:rPr>
        <w:t xml:space="preserve">. Bendra sutarties vertė 589.270,00 Eur su PVM (487.000,00 Eur be PVM). Sutarties vykdymo metu suteiktos Nemokumo procesų informacinio portalo (toliau – Portalas) sukūrimo paslaugos. Portalo </w:t>
      </w:r>
      <w:r w:rsidRPr="00C83DCE">
        <w:rPr>
          <w:bCs/>
          <w:szCs w:val="24"/>
          <w:lang w:val="lt-LT"/>
        </w:rPr>
        <w:t>tikslas</w:t>
      </w:r>
      <w:r w:rsidRPr="00C83DCE">
        <w:rPr>
          <w:szCs w:val="24"/>
          <w:lang w:val="lt-LT"/>
        </w:rPr>
        <w:t xml:space="preserve"> – suteikti teisę teismui ir kreditorių susirinkimuose turintiems teisę dalyvauti asmenims, nepažeidžiant asmens duomenų apsaugos ir komercinės (gamybinės) paslapties apsaugos reikalavimų, Portale susipažinti su nemokumo procesų informacija ir eiga bei atverti apibendrintus nemokumo procesų statistinius duomenis plačiajai visuomenei.</w:t>
      </w:r>
    </w:p>
    <w:p w:rsidR="00C83DCE" w:rsidRPr="00C83DCE" w:rsidRDefault="00C83DCE" w:rsidP="00236640">
      <w:pPr>
        <w:ind w:right="283" w:firstLine="360"/>
        <w:jc w:val="both"/>
        <w:rPr>
          <w:szCs w:val="24"/>
          <w:lang w:val="lt-LT"/>
        </w:rPr>
      </w:pPr>
      <w:r w:rsidRPr="00C83DCE">
        <w:rPr>
          <w:szCs w:val="24"/>
          <w:lang w:val="lt-LT"/>
        </w:rPr>
        <w:t>Projekto metu buvo sukurti šie Portalo funkciniai moduliai / posistemės:</w:t>
      </w:r>
    </w:p>
    <w:p w:rsidR="00C83DCE" w:rsidRPr="00C83DCE" w:rsidRDefault="00C83DCE" w:rsidP="00C83DCE">
      <w:pPr>
        <w:numPr>
          <w:ilvl w:val="0"/>
          <w:numId w:val="3"/>
        </w:numPr>
        <w:ind w:right="283"/>
        <w:jc w:val="both"/>
        <w:rPr>
          <w:szCs w:val="24"/>
          <w:lang w:val="lt-LT"/>
        </w:rPr>
      </w:pPr>
      <w:r w:rsidRPr="00C83DCE">
        <w:rPr>
          <w:szCs w:val="24"/>
          <w:lang w:val="lt-LT"/>
        </w:rPr>
        <w:t>Nemokumo bylų modulis, suteikiantis galimybę peržiūrėti nemokumo bylos informaciją, registruoti bei tvarkyti teisės aktais nustatytus duomenis nemokumo byloje;</w:t>
      </w:r>
    </w:p>
    <w:p w:rsidR="00C83DCE" w:rsidRPr="00C83DCE" w:rsidRDefault="00C83DCE" w:rsidP="00C83DCE">
      <w:pPr>
        <w:numPr>
          <w:ilvl w:val="0"/>
          <w:numId w:val="3"/>
        </w:numPr>
        <w:ind w:right="283"/>
        <w:jc w:val="both"/>
        <w:rPr>
          <w:szCs w:val="24"/>
          <w:lang w:val="lt-LT"/>
        </w:rPr>
      </w:pPr>
      <w:r w:rsidRPr="00C83DCE">
        <w:rPr>
          <w:szCs w:val="24"/>
          <w:lang w:val="lt-LT"/>
        </w:rPr>
        <w:t>Nemokumo administratorių modulis, suteikiantis galimybę vykdyti paiešką nemokumo administratorių sąrašuose bei peržiūrėti pageidaujamo administratoriaus informaciją;</w:t>
      </w:r>
    </w:p>
    <w:p w:rsidR="00C83DCE" w:rsidRPr="00C83DCE" w:rsidRDefault="00C83DCE" w:rsidP="00C83DCE">
      <w:pPr>
        <w:numPr>
          <w:ilvl w:val="0"/>
          <w:numId w:val="3"/>
        </w:numPr>
        <w:ind w:right="283"/>
        <w:jc w:val="both"/>
        <w:rPr>
          <w:szCs w:val="24"/>
          <w:lang w:val="lt-LT"/>
        </w:rPr>
      </w:pPr>
      <w:r w:rsidRPr="00C83DCE">
        <w:rPr>
          <w:szCs w:val="24"/>
          <w:lang w:val="lt-LT"/>
        </w:rPr>
        <w:t>Prisijungimo modulis, suteikiantis galimybę prie Portalo prisijungti tiek per VIISP, tiek ir naudojant vidinės AVNIS prisijungimo duomenis;</w:t>
      </w:r>
    </w:p>
    <w:p w:rsidR="00C83DCE" w:rsidRPr="00C83DCE" w:rsidRDefault="00C83DCE" w:rsidP="00C83DCE">
      <w:pPr>
        <w:numPr>
          <w:ilvl w:val="0"/>
          <w:numId w:val="3"/>
        </w:numPr>
        <w:ind w:right="283"/>
        <w:jc w:val="both"/>
        <w:rPr>
          <w:szCs w:val="24"/>
          <w:lang w:val="lt-LT"/>
        </w:rPr>
      </w:pPr>
      <w:r w:rsidRPr="00C83DCE">
        <w:rPr>
          <w:szCs w:val="24"/>
          <w:lang w:val="lt-LT"/>
        </w:rPr>
        <w:t>Integracijų modulis, užtikrinantis nemokumo bylų informacijos sinchronizavimą tarp Portalo ir kitų sistemų – AVNIS, LITEKO, JAR GR;</w:t>
      </w:r>
    </w:p>
    <w:p w:rsidR="00C83DCE" w:rsidRPr="00C83DCE" w:rsidRDefault="00C83DCE" w:rsidP="00C83DCE">
      <w:pPr>
        <w:numPr>
          <w:ilvl w:val="0"/>
          <w:numId w:val="3"/>
        </w:numPr>
        <w:ind w:right="283"/>
        <w:jc w:val="both"/>
        <w:rPr>
          <w:szCs w:val="24"/>
          <w:lang w:val="lt-LT"/>
        </w:rPr>
      </w:pPr>
      <w:r w:rsidRPr="00C83DCE">
        <w:rPr>
          <w:szCs w:val="24"/>
          <w:lang w:val="lt-LT"/>
        </w:rPr>
        <w:t>Įvykių kalendoriaus ir Priminimų modulis, suteikiantis galimybę registruoti įvykius nemokumo bylose bei gauti priminimus apie artėjančius įvykius;</w:t>
      </w:r>
    </w:p>
    <w:p w:rsidR="00C83DCE" w:rsidRPr="00C83DCE" w:rsidRDefault="00C83DCE" w:rsidP="00C83DCE">
      <w:pPr>
        <w:numPr>
          <w:ilvl w:val="0"/>
          <w:numId w:val="3"/>
        </w:numPr>
        <w:ind w:right="283"/>
        <w:jc w:val="both"/>
        <w:rPr>
          <w:szCs w:val="24"/>
          <w:lang w:val="lt-LT"/>
        </w:rPr>
      </w:pPr>
      <w:r w:rsidRPr="00C83DCE">
        <w:rPr>
          <w:szCs w:val="24"/>
          <w:lang w:val="lt-LT"/>
        </w:rPr>
        <w:t>Administravimo modulis, suteikiantis galimybę administruoti Portalo naudotojus, klasifikatorius bei kitus parametrus;</w:t>
      </w:r>
    </w:p>
    <w:p w:rsidR="00C83DCE" w:rsidRPr="00C83DCE" w:rsidRDefault="00C83DCE" w:rsidP="00C83DCE">
      <w:pPr>
        <w:numPr>
          <w:ilvl w:val="0"/>
          <w:numId w:val="3"/>
        </w:numPr>
        <w:ind w:right="283"/>
        <w:jc w:val="both"/>
        <w:rPr>
          <w:szCs w:val="24"/>
          <w:lang w:val="lt-LT"/>
        </w:rPr>
      </w:pPr>
      <w:r w:rsidRPr="00C83DCE">
        <w:rPr>
          <w:szCs w:val="24"/>
          <w:lang w:val="lt-LT"/>
        </w:rPr>
        <w:t>Atvirų duomenų modulis;</w:t>
      </w:r>
    </w:p>
    <w:p w:rsidR="00C83DCE" w:rsidRPr="00C83DCE" w:rsidRDefault="00C83DCE" w:rsidP="00C83DCE">
      <w:pPr>
        <w:numPr>
          <w:ilvl w:val="0"/>
          <w:numId w:val="3"/>
        </w:numPr>
        <w:ind w:right="283"/>
        <w:jc w:val="both"/>
        <w:rPr>
          <w:szCs w:val="24"/>
          <w:lang w:val="lt-LT"/>
        </w:rPr>
      </w:pPr>
      <w:r w:rsidRPr="00C83DCE">
        <w:rPr>
          <w:szCs w:val="24"/>
          <w:lang w:val="lt-LT"/>
        </w:rPr>
        <w:t>Skelbimų modulis;</w:t>
      </w:r>
    </w:p>
    <w:p w:rsidR="00C83DCE" w:rsidRPr="00C83DCE" w:rsidRDefault="00C83DCE" w:rsidP="00C83DCE">
      <w:pPr>
        <w:numPr>
          <w:ilvl w:val="0"/>
          <w:numId w:val="3"/>
        </w:numPr>
        <w:ind w:right="283"/>
        <w:jc w:val="both"/>
        <w:rPr>
          <w:szCs w:val="24"/>
          <w:lang w:val="lt-LT"/>
        </w:rPr>
      </w:pPr>
      <w:r w:rsidRPr="00C83DCE">
        <w:rPr>
          <w:szCs w:val="24"/>
          <w:lang w:val="lt-LT"/>
        </w:rPr>
        <w:t>Komentarų modulis.</w:t>
      </w:r>
    </w:p>
    <w:p w:rsidR="00C83DCE" w:rsidRPr="00C83DCE" w:rsidRDefault="00C83DCE" w:rsidP="00C83DCE">
      <w:pPr>
        <w:ind w:right="283"/>
        <w:jc w:val="both"/>
        <w:rPr>
          <w:szCs w:val="24"/>
          <w:lang w:val="lt-LT"/>
        </w:rPr>
      </w:pPr>
      <w:r w:rsidRPr="00C83DCE">
        <w:rPr>
          <w:szCs w:val="24"/>
          <w:lang w:val="lt-LT"/>
        </w:rPr>
        <w:tab/>
        <w:t xml:space="preserve">Portalas realizuotas laikantis į paslaugas orientuotos architektūros (SOA) principų, sistemos moduliai išskaidyti į atskirus mikroservisus, kurie tarpusavyje bendrauja per REST servisus. Naudotojo sąsaja sukurta kaip vieno puslapio aplikacija (angl. </w:t>
      </w:r>
      <w:r w:rsidRPr="00C83DCE">
        <w:rPr>
          <w:i/>
          <w:iCs/>
          <w:szCs w:val="24"/>
          <w:lang w:val="lt-LT"/>
        </w:rPr>
        <w:t>Single page application - SPA</w:t>
      </w:r>
      <w:r w:rsidRPr="00C83DCE">
        <w:rPr>
          <w:szCs w:val="24"/>
          <w:lang w:val="lt-LT"/>
        </w:rPr>
        <w:t xml:space="preserve">), naudojant JavaScript technologijos AngularJs karkasą. Vidinio kodo programavimui naudojamos technologijos - Java 11,  Spring Boot ir Spring karkasai. Duomenų saugojimui ir valdymui naudojamos duomenų bazių valdymo sistemos PostgreSQL ir Elasticsearch. Su išorinėmis sistemomis ir registrais realizuotos integracinės sąsajos, užtikrinančios periodinius, automatizuotus duomenų mainus žiniatinklio paslaugų pagrindu, panaudojant HTTP, REST, SOAP, WSDL, XML, JSON ir kitus protokolus. Realizacijai taip pat panaudoti modernūs atvirojo kodo komponentai: Docker, PostgreSQL, Hibernate, Elasticsearch, Kibana ir kt. Portalas veikia internetinės naudotojo sąsajos principu, neriboja vienu metu prisijungusių naudotojų skaičiaus ir yra pasiekiama internete adresu: </w:t>
      </w:r>
      <w:hyperlink r:id="rId9" w:history="1">
        <w:r w:rsidRPr="00C83DCE">
          <w:rPr>
            <w:rStyle w:val="Hipersaitas"/>
            <w:szCs w:val="24"/>
            <w:lang w:val="lt-LT"/>
          </w:rPr>
          <w:t>https://nemokumas.avnt.lt</w:t>
        </w:r>
      </w:hyperlink>
      <w:r w:rsidRPr="00C83DCE">
        <w:rPr>
          <w:szCs w:val="24"/>
          <w:lang w:val="lt-LT"/>
        </w:rPr>
        <w:t xml:space="preserve"> </w:t>
      </w:r>
    </w:p>
    <w:p w:rsidR="00C83DCE" w:rsidRPr="00C83DCE" w:rsidRDefault="00C83DCE" w:rsidP="00C83DCE">
      <w:pPr>
        <w:ind w:right="283" w:firstLine="720"/>
        <w:jc w:val="both"/>
        <w:rPr>
          <w:szCs w:val="24"/>
        </w:rPr>
      </w:pPr>
      <w:r w:rsidRPr="00C83DCE">
        <w:rPr>
          <w:szCs w:val="24"/>
          <w:lang w:val="lt-LT"/>
        </w:rPr>
        <w:t>Projekte dalyvavo šie pagrindiniai specialistai: projekto vadovas / IS architektas – Skirmantas Šermukšnis, projekto vadovas / analitikas – Ignas Špokas,  Veiklos procesų / duomenų analitikai – Andrius Pukevičius, Ovidijus Kėdžius, Elžbieta Sendrauskienė, IS saugumo specialistas – Mindaugas Aputis, IS architektas / programuotojas / DB specialistas – Aurimas Savickas, programuotojas / integravimo specialistas – Gaudrimas Tunkevičus, programuotojai – Mindaugas Ribakauskas, Mantas Stoškus, Bartas Šaltenis, Lukas Kačiulis, Nikita Gorčakovas, vartotojo sąsajos patogumo nustatytmo (</w:t>
      </w:r>
      <w:r w:rsidRPr="00C83DCE">
        <w:rPr>
          <w:i/>
          <w:iCs/>
          <w:szCs w:val="24"/>
          <w:lang w:val="lt-LT"/>
        </w:rPr>
        <w:t>usability)</w:t>
      </w:r>
      <w:r w:rsidRPr="00C83DCE">
        <w:rPr>
          <w:szCs w:val="24"/>
          <w:lang w:val="lt-LT"/>
        </w:rPr>
        <w:t xml:space="preserve"> specialistas – Juozas Markauskas, testuotojai – Tomas Šatkus, Ieva Žilinskienė, Neringa Račkauskaitė.</w:t>
      </w:r>
    </w:p>
    <w:p w:rsidR="00C83DCE" w:rsidRPr="00C83DCE" w:rsidRDefault="00C83DCE" w:rsidP="00C83DCE">
      <w:pPr>
        <w:ind w:right="283"/>
        <w:jc w:val="both"/>
        <w:rPr>
          <w:szCs w:val="24"/>
          <w:lang w:val="lt-LT"/>
        </w:rPr>
      </w:pPr>
    </w:p>
    <w:p w:rsidR="008D0CB1" w:rsidRDefault="008D0CB1" w:rsidP="00CE4E6F">
      <w:pPr>
        <w:ind w:right="283"/>
        <w:jc w:val="both"/>
        <w:rPr>
          <w:szCs w:val="24"/>
        </w:rPr>
      </w:pPr>
    </w:p>
    <w:p w:rsidR="00772693" w:rsidRPr="00772693" w:rsidRDefault="00A743BE" w:rsidP="00F54EF7">
      <w:pPr>
        <w:spacing w:after="0" w:line="240" w:lineRule="auto"/>
        <w:ind w:right="283"/>
        <w:jc w:val="both"/>
        <w:rPr>
          <w:lang w:val="lt-LT"/>
        </w:rPr>
      </w:pPr>
      <w:r>
        <w:rPr>
          <w:lang w:val="lt-LT"/>
        </w:rPr>
        <w:t>Direktori</w:t>
      </w:r>
      <w:r w:rsidR="005F6E94">
        <w:rPr>
          <w:lang w:val="lt-LT"/>
        </w:rPr>
        <w:t>a</w:t>
      </w:r>
      <w:r>
        <w:rPr>
          <w:lang w:val="lt-LT"/>
        </w:rPr>
        <w:t>us</w:t>
      </w:r>
      <w:r w:rsidR="005F6E94">
        <w:rPr>
          <w:lang w:val="lt-LT"/>
        </w:rPr>
        <w:t xml:space="preserve"> pavaduotojas</w:t>
      </w:r>
      <w:r w:rsidR="005F6E94">
        <w:rPr>
          <w:lang w:val="lt-LT"/>
        </w:rPr>
        <w:tab/>
      </w:r>
      <w:r w:rsidR="005F6E94">
        <w:rPr>
          <w:lang w:val="lt-LT"/>
        </w:rPr>
        <w:tab/>
      </w:r>
      <w:r w:rsidR="005F6E94">
        <w:rPr>
          <w:lang w:val="lt-LT"/>
        </w:rPr>
        <w:tab/>
      </w:r>
      <w:r w:rsidR="005F6E94">
        <w:rPr>
          <w:lang w:val="lt-LT"/>
        </w:rPr>
        <w:tab/>
      </w:r>
      <w:r w:rsidR="005F6E94">
        <w:rPr>
          <w:lang w:val="lt-LT"/>
        </w:rPr>
        <w:tab/>
      </w:r>
      <w:r w:rsidR="005F6E94">
        <w:rPr>
          <w:lang w:val="lt-LT"/>
        </w:rPr>
        <w:tab/>
      </w:r>
      <w:r w:rsidR="005F6E94">
        <w:rPr>
          <w:lang w:val="lt-LT"/>
        </w:rPr>
        <w:tab/>
        <w:t>Jovaldas Černiauskas</w:t>
      </w:r>
    </w:p>
    <w:p w:rsidR="00772693" w:rsidRPr="00772693" w:rsidRDefault="00772693" w:rsidP="00772693">
      <w:pPr>
        <w:spacing w:line="240" w:lineRule="auto"/>
        <w:jc w:val="both"/>
        <w:rPr>
          <w:lang w:val="lt-LT"/>
        </w:rPr>
      </w:pPr>
    </w:p>
    <w:p w:rsidR="00772693" w:rsidRDefault="00772693" w:rsidP="00772693">
      <w:pPr>
        <w:spacing w:line="240" w:lineRule="auto"/>
        <w:jc w:val="both"/>
        <w:rPr>
          <w:lang w:val="lt-LT"/>
        </w:rPr>
      </w:pPr>
    </w:p>
    <w:p w:rsidR="00772693" w:rsidRPr="00772693" w:rsidRDefault="00772693" w:rsidP="00772693">
      <w:pPr>
        <w:spacing w:line="240" w:lineRule="auto"/>
        <w:jc w:val="both"/>
        <w:rPr>
          <w:lang w:val="lt-LT"/>
        </w:rPr>
      </w:pPr>
    </w:p>
    <w:p w:rsidR="00F769F7" w:rsidRDefault="00F769F7" w:rsidP="00772693">
      <w:pPr>
        <w:spacing w:line="240" w:lineRule="auto"/>
        <w:jc w:val="both"/>
        <w:rPr>
          <w:lang w:val="lt-LT"/>
        </w:rPr>
      </w:pPr>
    </w:p>
    <w:p w:rsidR="00080723" w:rsidRDefault="00080723" w:rsidP="00772693">
      <w:pPr>
        <w:spacing w:line="240" w:lineRule="auto"/>
        <w:jc w:val="both"/>
        <w:rPr>
          <w:lang w:val="lt-LT"/>
        </w:rPr>
      </w:pPr>
    </w:p>
    <w:p w:rsidR="001443E1" w:rsidRDefault="001443E1" w:rsidP="00772693">
      <w:pPr>
        <w:spacing w:line="240" w:lineRule="auto"/>
        <w:jc w:val="both"/>
        <w:rPr>
          <w:lang w:val="lt-LT"/>
        </w:rPr>
      </w:pPr>
    </w:p>
    <w:p w:rsidR="001443E1" w:rsidRDefault="001443E1" w:rsidP="00772693">
      <w:pPr>
        <w:spacing w:line="240" w:lineRule="auto"/>
        <w:jc w:val="both"/>
        <w:rPr>
          <w:lang w:val="lt-LT"/>
        </w:rPr>
      </w:pPr>
    </w:p>
    <w:p w:rsidR="001443E1" w:rsidRDefault="001443E1" w:rsidP="00772693">
      <w:pPr>
        <w:spacing w:line="240" w:lineRule="auto"/>
        <w:jc w:val="both"/>
        <w:rPr>
          <w:lang w:val="lt-LT"/>
        </w:rPr>
      </w:pPr>
    </w:p>
    <w:p w:rsidR="001443E1" w:rsidRDefault="001443E1" w:rsidP="00772693">
      <w:pPr>
        <w:spacing w:line="240" w:lineRule="auto"/>
        <w:jc w:val="both"/>
        <w:rPr>
          <w:lang w:val="lt-LT"/>
        </w:rPr>
      </w:pPr>
    </w:p>
    <w:p w:rsidR="001443E1" w:rsidRDefault="001443E1" w:rsidP="00772693">
      <w:pPr>
        <w:spacing w:line="240" w:lineRule="auto"/>
        <w:jc w:val="both"/>
        <w:rPr>
          <w:lang w:val="lt-LT"/>
        </w:rPr>
      </w:pPr>
    </w:p>
    <w:p w:rsidR="00C83DCE" w:rsidRDefault="00C83DCE" w:rsidP="009D7D16">
      <w:pPr>
        <w:spacing w:line="240" w:lineRule="auto"/>
        <w:jc w:val="both"/>
        <w:rPr>
          <w:lang w:val="lt-LT"/>
        </w:rPr>
      </w:pPr>
    </w:p>
    <w:p w:rsidR="004B4805" w:rsidRDefault="004B4805" w:rsidP="009D7D16">
      <w:pPr>
        <w:spacing w:line="240" w:lineRule="auto"/>
        <w:jc w:val="both"/>
        <w:rPr>
          <w:lang w:val="lt-LT"/>
        </w:rPr>
      </w:pPr>
    </w:p>
    <w:p w:rsidR="00C83DCE" w:rsidRDefault="00C83DCE" w:rsidP="009D7D16">
      <w:pPr>
        <w:spacing w:line="240" w:lineRule="auto"/>
        <w:jc w:val="both"/>
        <w:rPr>
          <w:lang w:val="lt-LT"/>
        </w:rPr>
      </w:pPr>
    </w:p>
    <w:p w:rsidR="00C83DCE" w:rsidRDefault="00C83DCE" w:rsidP="009D7D16">
      <w:pPr>
        <w:spacing w:line="240" w:lineRule="auto"/>
        <w:jc w:val="both"/>
        <w:rPr>
          <w:lang w:val="lt-LT"/>
        </w:rPr>
      </w:pPr>
    </w:p>
    <w:p w:rsidR="00DC3ADD" w:rsidRPr="00570934" w:rsidRDefault="00DC3ADD" w:rsidP="009D7D16">
      <w:pPr>
        <w:spacing w:line="240" w:lineRule="auto"/>
        <w:jc w:val="both"/>
        <w:rPr>
          <w:lang w:val="lt-LT"/>
        </w:rPr>
      </w:pPr>
      <w:r w:rsidRPr="00DC3ADD">
        <w:rPr>
          <w:lang w:val="lt-LT"/>
        </w:rPr>
        <w:t>S. Alunderienė, tel.(8 5)249 9330, el. p. Svajone.Alunderiene@avnt.</w:t>
      </w:r>
      <w:r w:rsidR="004F4890">
        <w:rPr>
          <w:lang w:val="lt-LT"/>
        </w:rPr>
        <w:t>lt</w:t>
      </w:r>
    </w:p>
    <w:sectPr w:rsidR="00DC3ADD" w:rsidRPr="00570934" w:rsidSect="00F769F7">
      <w:headerReference w:type="default" r:id="rId10"/>
      <w:footerReference w:type="default" r:id="rId11"/>
      <w:headerReference w:type="first" r:id="rId12"/>
      <w:footerReference w:type="first" r:id="rId13"/>
      <w:pgSz w:w="11907" w:h="16840" w:code="9"/>
      <w:pgMar w:top="1134" w:right="567" w:bottom="1276" w:left="1701"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2966" w:rsidRDefault="00112966" w:rsidP="00027286">
      <w:pPr>
        <w:spacing w:after="0" w:line="240" w:lineRule="auto"/>
      </w:pPr>
      <w:r>
        <w:separator/>
      </w:r>
    </w:p>
  </w:endnote>
  <w:endnote w:type="continuationSeparator" w:id="0">
    <w:p w:rsidR="00112966" w:rsidRDefault="00112966" w:rsidP="00027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513"/>
    </w:tblGrid>
    <w:tr w:rsidR="00F769F7" w:rsidRPr="00570934" w:rsidTr="00FF7097">
      <w:trPr>
        <w:trHeight w:val="699"/>
      </w:trPr>
      <w:tc>
        <w:tcPr>
          <w:tcW w:w="2263" w:type="dxa"/>
        </w:tcPr>
        <w:p w:rsidR="00F769F7" w:rsidRPr="00570934" w:rsidRDefault="00F769F7" w:rsidP="00FF7097">
          <w:pPr>
            <w:pStyle w:val="Porat"/>
            <w:rPr>
              <w:lang w:val="lt-LT"/>
            </w:rPr>
          </w:pPr>
          <w:r w:rsidRPr="00570934">
            <w:rPr>
              <w:noProof/>
              <w:sz w:val="18"/>
              <w:lang w:val="lt-LT" w:eastAsia="lt-LT"/>
            </w:rPr>
            <w:drawing>
              <wp:anchor distT="0" distB="0" distL="114300" distR="114300" simplePos="0" relativeHeight="251662336" behindDoc="0" locked="0" layoutInCell="1" allowOverlap="1" wp14:anchorId="354F32E0" wp14:editId="3A5F8BD9">
                <wp:simplePos x="0" y="0"/>
                <wp:positionH relativeFrom="margin">
                  <wp:posOffset>-75565</wp:posOffset>
                </wp:positionH>
                <wp:positionV relativeFrom="page">
                  <wp:posOffset>57150</wp:posOffset>
                </wp:positionV>
                <wp:extent cx="1390650" cy="295275"/>
                <wp:effectExtent l="0" t="0" r="0"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0650" cy="295275"/>
                        </a:xfrm>
                        <a:prstGeom prst="rect">
                          <a:avLst/>
                        </a:prstGeom>
                      </pic:spPr>
                    </pic:pic>
                  </a:graphicData>
                </a:graphic>
                <wp14:sizeRelH relativeFrom="page">
                  <wp14:pctWidth>0</wp14:pctWidth>
                </wp14:sizeRelH>
                <wp14:sizeRelV relativeFrom="page">
                  <wp14:pctHeight>0</wp14:pctHeight>
                </wp14:sizeRelV>
              </wp:anchor>
            </w:drawing>
          </w:r>
        </w:p>
      </w:tc>
      <w:tc>
        <w:tcPr>
          <w:tcW w:w="7513" w:type="dxa"/>
        </w:tcPr>
        <w:p w:rsidR="00F769F7" w:rsidRPr="00570934" w:rsidRDefault="00F769F7" w:rsidP="00FF7097">
          <w:pPr>
            <w:pStyle w:val="Porat"/>
            <w:jc w:val="center"/>
            <w:rPr>
              <w:sz w:val="18"/>
              <w:lang w:val="lt-LT"/>
            </w:rPr>
          </w:pPr>
          <w:r w:rsidRPr="00570934">
            <w:rPr>
              <w:sz w:val="18"/>
              <w:lang w:val="lt-LT"/>
            </w:rPr>
            <w:t>Biudžetinė įstaiga, Rinktinės g. 48A, 09318 Vilnius, tel. (8 5) 212 5464, (8 5) 263 9291,</w:t>
          </w:r>
        </w:p>
        <w:p w:rsidR="00F769F7" w:rsidRPr="00570934" w:rsidRDefault="00F769F7" w:rsidP="00FF7097">
          <w:pPr>
            <w:pStyle w:val="Porat"/>
            <w:jc w:val="center"/>
            <w:rPr>
              <w:sz w:val="18"/>
              <w:lang w:val="lt-LT"/>
            </w:rPr>
          </w:pPr>
          <w:r w:rsidRPr="00570934">
            <w:rPr>
              <w:sz w:val="18"/>
              <w:lang w:val="lt-LT"/>
            </w:rPr>
            <w:t xml:space="preserve">El. p. </w:t>
          </w:r>
          <w:hyperlink r:id="rId2" w:history="1">
            <w:r w:rsidRPr="00570934">
              <w:rPr>
                <w:rStyle w:val="Hipersaitas"/>
                <w:sz w:val="18"/>
                <w:lang w:val="lt-LT"/>
              </w:rPr>
              <w:t>info@avnt.lt</w:t>
            </w:r>
          </w:hyperlink>
          <w:r w:rsidRPr="00570934">
            <w:rPr>
              <w:sz w:val="18"/>
              <w:lang w:val="lt-LT"/>
            </w:rPr>
            <w:t xml:space="preserve">, </w:t>
          </w:r>
          <w:hyperlink r:id="rId3" w:history="1">
            <w:r w:rsidR="008539E5" w:rsidRPr="008539E5">
              <w:rPr>
                <w:rStyle w:val="Hipersaitas"/>
                <w:sz w:val="18"/>
                <w:szCs w:val="18"/>
              </w:rPr>
              <w:t>https://avnt.lrv.lt</w:t>
            </w:r>
          </w:hyperlink>
          <w:r w:rsidRPr="00570934">
            <w:rPr>
              <w:sz w:val="18"/>
              <w:lang w:val="lt-LT"/>
            </w:rPr>
            <w:t>,</w:t>
          </w:r>
        </w:p>
        <w:p w:rsidR="00F769F7" w:rsidRPr="00570934" w:rsidRDefault="00F769F7" w:rsidP="00FF7097">
          <w:pPr>
            <w:pStyle w:val="Porat"/>
            <w:jc w:val="center"/>
            <w:rPr>
              <w:sz w:val="18"/>
              <w:lang w:val="lt-LT"/>
            </w:rPr>
          </w:pPr>
          <w:r w:rsidRPr="00570934">
            <w:rPr>
              <w:sz w:val="18"/>
              <w:lang w:val="lt-LT"/>
            </w:rPr>
            <w:t>Duomenys kaupiami ir saugomi Juridinių asmenų registre, kodas 304157094</w:t>
          </w:r>
        </w:p>
      </w:tc>
    </w:tr>
  </w:tbl>
  <w:p w:rsidR="00F769F7" w:rsidRPr="00570934" w:rsidRDefault="00F07FCE" w:rsidP="00F769F7">
    <w:pPr>
      <w:pStyle w:val="Porat"/>
      <w:rPr>
        <w:lang w:val="lt-LT"/>
      </w:rPr>
    </w:pPr>
    <w:r>
      <w:rPr>
        <w:noProof/>
      </w:rPr>
      <mc:AlternateContent>
        <mc:Choice Requires="wps">
          <w:drawing>
            <wp:anchor distT="4294967295" distB="4294967295" distL="114300" distR="114300" simplePos="0" relativeHeight="251663360" behindDoc="0" locked="0" layoutInCell="1" allowOverlap="1" wp14:anchorId="1A2898E1" wp14:editId="6F5A1368">
              <wp:simplePos x="0" y="0"/>
              <wp:positionH relativeFrom="column">
                <wp:posOffset>-22860</wp:posOffset>
              </wp:positionH>
              <wp:positionV relativeFrom="paragraph">
                <wp:posOffset>-507366</wp:posOffset>
              </wp:positionV>
              <wp:extent cx="6229350" cy="0"/>
              <wp:effectExtent l="0" t="0" r="0" b="0"/>
              <wp:wrapNone/>
              <wp:docPr id="1260747624"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F93001D" id="Tiesioji jungtis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39.95pt" to="488.7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" strokecolor="black [3213]" strokeweight=".25pt">
              <v:stroke joinstyle="miter"/>
              <o:lock v:ext="edit" shapetype="f"/>
            </v:line>
          </w:pict>
        </mc:Fallback>
      </mc:AlternateContent>
    </w:r>
  </w:p>
  <w:p w:rsidR="00F769F7" w:rsidRDefault="00F769F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513"/>
    </w:tblGrid>
    <w:tr w:rsidR="00C25178" w:rsidRPr="00570934" w:rsidTr="00C25178">
      <w:trPr>
        <w:trHeight w:val="699"/>
      </w:trPr>
      <w:tc>
        <w:tcPr>
          <w:tcW w:w="2263" w:type="dxa"/>
        </w:tcPr>
        <w:p w:rsidR="00C25178" w:rsidRPr="00570934" w:rsidRDefault="00C25178">
          <w:pPr>
            <w:pStyle w:val="Porat"/>
            <w:rPr>
              <w:lang w:val="lt-LT"/>
            </w:rPr>
          </w:pPr>
          <w:r w:rsidRPr="00570934">
            <w:rPr>
              <w:noProof/>
              <w:sz w:val="18"/>
              <w:lang w:val="lt-LT" w:eastAsia="lt-LT"/>
            </w:rPr>
            <w:drawing>
              <wp:anchor distT="0" distB="0" distL="114300" distR="114300" simplePos="0" relativeHeight="251659264" behindDoc="0" locked="0" layoutInCell="1" allowOverlap="1" wp14:anchorId="21E0D19F" wp14:editId="48D67762">
                <wp:simplePos x="0" y="0"/>
                <wp:positionH relativeFrom="margin">
                  <wp:posOffset>-75565</wp:posOffset>
                </wp:positionH>
                <wp:positionV relativeFrom="page">
                  <wp:posOffset>57150</wp:posOffset>
                </wp:positionV>
                <wp:extent cx="1390650" cy="295275"/>
                <wp:effectExtent l="0" t="0" r="0"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0650" cy="295275"/>
                        </a:xfrm>
                        <a:prstGeom prst="rect">
                          <a:avLst/>
                        </a:prstGeom>
                      </pic:spPr>
                    </pic:pic>
                  </a:graphicData>
                </a:graphic>
                <wp14:sizeRelH relativeFrom="page">
                  <wp14:pctWidth>0</wp14:pctWidth>
                </wp14:sizeRelH>
                <wp14:sizeRelV relativeFrom="page">
                  <wp14:pctHeight>0</wp14:pctHeight>
                </wp14:sizeRelV>
              </wp:anchor>
            </w:drawing>
          </w:r>
        </w:p>
      </w:tc>
      <w:tc>
        <w:tcPr>
          <w:tcW w:w="7513" w:type="dxa"/>
        </w:tcPr>
        <w:p w:rsidR="00C25178" w:rsidRDefault="00C25178" w:rsidP="007B23D9">
          <w:pPr>
            <w:pStyle w:val="Porat"/>
            <w:jc w:val="center"/>
            <w:rPr>
              <w:sz w:val="18"/>
              <w:lang w:val="lt-LT"/>
            </w:rPr>
          </w:pPr>
          <w:r w:rsidRPr="00570934">
            <w:rPr>
              <w:sz w:val="18"/>
              <w:lang w:val="lt-LT"/>
            </w:rPr>
            <w:t>Biudžetinė įstaiga, Rinktinės g. 48A, 09318 Vilnius, tel. (8 5) 212 5464, (8 5) 263 9291,</w:t>
          </w:r>
        </w:p>
        <w:p w:rsidR="007B23D9" w:rsidRPr="00570934" w:rsidRDefault="007B23D9" w:rsidP="007B23D9">
          <w:pPr>
            <w:pStyle w:val="Porat"/>
            <w:jc w:val="center"/>
            <w:rPr>
              <w:sz w:val="18"/>
              <w:lang w:val="lt-LT"/>
            </w:rPr>
          </w:pPr>
          <w:r w:rsidRPr="00F03B65">
            <w:rPr>
              <w:sz w:val="18"/>
              <w:lang w:val="lt-LT"/>
            </w:rPr>
            <w:t xml:space="preserve">El. p. </w:t>
          </w:r>
          <w:hyperlink r:id="rId2" w:history="1">
            <w:r w:rsidRPr="00F03B65">
              <w:rPr>
                <w:rStyle w:val="Hipersaitas"/>
                <w:sz w:val="18"/>
                <w:lang w:val="lt-LT"/>
              </w:rPr>
              <w:t>info@avnt.lt</w:t>
            </w:r>
          </w:hyperlink>
          <w:r w:rsidRPr="00F03B65">
            <w:rPr>
              <w:sz w:val="18"/>
              <w:lang w:val="lt-LT"/>
            </w:rPr>
            <w:t xml:space="preserve">, </w:t>
          </w:r>
          <w:hyperlink r:id="rId3" w:history="1">
            <w:r w:rsidRPr="00137BF4">
              <w:rPr>
                <w:rStyle w:val="Hipersaitas"/>
                <w:sz w:val="18"/>
                <w:lang w:val="lt-LT"/>
              </w:rPr>
              <w:t>https://avnt.lrv.lt</w:t>
            </w:r>
          </w:hyperlink>
          <w:r>
            <w:rPr>
              <w:sz w:val="18"/>
              <w:lang w:val="lt-LT"/>
            </w:rPr>
            <w:t>,</w:t>
          </w:r>
        </w:p>
        <w:p w:rsidR="00C25178" w:rsidRPr="00570934" w:rsidRDefault="00C25178" w:rsidP="00C25178">
          <w:pPr>
            <w:pStyle w:val="Porat"/>
            <w:jc w:val="center"/>
            <w:rPr>
              <w:sz w:val="18"/>
              <w:lang w:val="lt-LT"/>
            </w:rPr>
          </w:pPr>
          <w:r w:rsidRPr="00570934">
            <w:rPr>
              <w:sz w:val="18"/>
              <w:lang w:val="lt-LT"/>
            </w:rPr>
            <w:t>Duomenys kaupiami ir saugomi Juridinių asmenų registre, kodas 304157094</w:t>
          </w:r>
        </w:p>
      </w:tc>
    </w:tr>
  </w:tbl>
  <w:p w:rsidR="00FB1DB8" w:rsidRPr="00570934" w:rsidRDefault="00F07FCE">
    <w:pPr>
      <w:pStyle w:val="Porat"/>
      <w:rPr>
        <w:lang w:val="lt-LT"/>
      </w:rPr>
    </w:pPr>
    <w:r>
      <w:rPr>
        <w:noProof/>
      </w:rPr>
      <mc:AlternateContent>
        <mc:Choice Requires="wps">
          <w:drawing>
            <wp:anchor distT="4294967295" distB="4294967295" distL="114300" distR="114300" simplePos="0" relativeHeight="251660288" behindDoc="0" locked="0" layoutInCell="1" allowOverlap="1" wp14:anchorId="3AA890DB" wp14:editId="501546D2">
              <wp:simplePos x="0" y="0"/>
              <wp:positionH relativeFrom="column">
                <wp:posOffset>-22860</wp:posOffset>
              </wp:positionH>
              <wp:positionV relativeFrom="paragraph">
                <wp:posOffset>-507366</wp:posOffset>
              </wp:positionV>
              <wp:extent cx="6229350" cy="0"/>
              <wp:effectExtent l="0" t="0" r="0" b="0"/>
              <wp:wrapNone/>
              <wp:docPr id="1256383149"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5485733" id="Tiesioji jungtis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39.95pt" to="488.7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" strokecolor="black [3213]" strokeweight=".25pt">
              <v:stroke joinstyle="miter"/>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2966" w:rsidRDefault="00112966" w:rsidP="00027286">
      <w:pPr>
        <w:spacing w:after="0" w:line="240" w:lineRule="auto"/>
      </w:pPr>
      <w:r>
        <w:separator/>
      </w:r>
    </w:p>
  </w:footnote>
  <w:footnote w:type="continuationSeparator" w:id="0">
    <w:p w:rsidR="00112966" w:rsidRDefault="00112966" w:rsidP="00027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286" w:rsidRPr="00CF16F3" w:rsidRDefault="00FB1DB8" w:rsidP="00FB1DB8">
    <w:pPr>
      <w:tabs>
        <w:tab w:val="left" w:pos="330"/>
        <w:tab w:val="center" w:pos="4819"/>
      </w:tabs>
      <w:spacing w:line="240" w:lineRule="auto"/>
      <w:rPr>
        <w:b/>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0A4" w:rsidRPr="00570934" w:rsidRDefault="008B70A4" w:rsidP="00FB1DB8">
    <w:pPr>
      <w:tabs>
        <w:tab w:val="left" w:pos="330"/>
        <w:tab w:val="center" w:pos="4819"/>
      </w:tabs>
      <w:spacing w:line="240" w:lineRule="auto"/>
      <w:jc w:val="center"/>
      <w:rPr>
        <w:lang w:val="lt-LT"/>
      </w:rPr>
    </w:pPr>
  </w:p>
  <w:p w:rsidR="00FB1DB8" w:rsidRPr="00570934" w:rsidRDefault="00FB1DB8" w:rsidP="00FB1DB8">
    <w:pPr>
      <w:tabs>
        <w:tab w:val="left" w:pos="330"/>
        <w:tab w:val="center" w:pos="4819"/>
      </w:tabs>
      <w:spacing w:line="240" w:lineRule="auto"/>
      <w:jc w:val="center"/>
      <w:rPr>
        <w:lang w:val="lt-LT"/>
      </w:rPr>
    </w:pPr>
    <w:r w:rsidRPr="00570934">
      <w:rPr>
        <w:noProof/>
        <w:sz w:val="22"/>
        <w:lang w:val="lt-LT" w:eastAsia="lt-LT"/>
      </w:rPr>
      <w:drawing>
        <wp:inline distT="0" distB="0" distL="0" distR="0" wp14:anchorId="1AAFF455" wp14:editId="6B3D1879">
          <wp:extent cx="528320" cy="618490"/>
          <wp:effectExtent l="0" t="0" r="508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8320" cy="618490"/>
                  </a:xfrm>
                  <a:prstGeom prst="rect">
                    <a:avLst/>
                  </a:prstGeom>
                  <a:noFill/>
                  <a:ln>
                    <a:noFill/>
                  </a:ln>
                </pic:spPr>
              </pic:pic>
            </a:graphicData>
          </a:graphic>
        </wp:inline>
      </w:drawing>
    </w:r>
  </w:p>
  <w:p w:rsidR="00FB1DB8" w:rsidRPr="00570934" w:rsidRDefault="00FB1DB8" w:rsidP="00FB1DB8">
    <w:pPr>
      <w:spacing w:after="0"/>
      <w:jc w:val="center"/>
      <w:rPr>
        <w:b/>
        <w:sz w:val="22"/>
        <w:lang w:val="lt-LT"/>
      </w:rPr>
    </w:pPr>
  </w:p>
  <w:p w:rsidR="00FB1DB8" w:rsidRPr="00570934" w:rsidRDefault="00FB1DB8" w:rsidP="00AC7943">
    <w:pPr>
      <w:pStyle w:val="Antrats"/>
      <w:jc w:val="center"/>
      <w:rPr>
        <w:b/>
        <w:lang w:val="lt-LT"/>
      </w:rPr>
    </w:pPr>
    <w:r w:rsidRPr="00570934">
      <w:rPr>
        <w:b/>
        <w:lang w:val="lt-LT"/>
      </w:rPr>
      <w:t>AUDITO, APSKAITOS, TURTO VERTINIMO IR NEMOKUMO VALDYMO TARNYBA PRIE LIETUVOS RESPUBLIKOS FINANSŲ MINISTERIJOS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7793"/>
    <w:multiLevelType w:val="multilevel"/>
    <w:tmpl w:val="3EA6BF4C"/>
    <w:lvl w:ilvl="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CDD0125"/>
    <w:multiLevelType w:val="multilevel"/>
    <w:tmpl w:val="5B1CCB56"/>
    <w:lvl w:ilvl="0">
      <w:start w:val="1"/>
      <w:numFmt w:val="bullet"/>
      <w:lvlText w:val=""/>
      <w:lvlJc w:val="left"/>
      <w:pPr>
        <w:ind w:left="720" w:hanging="360"/>
      </w:pPr>
      <w:rPr>
        <w:rFonts w:ascii="Symbol" w:hAnsi="Symbol" w:hint="default"/>
        <w:i w:val="0"/>
      </w:rPr>
    </w:lvl>
    <w:lvl w:ilvl="1">
      <w:start w:val="1"/>
      <w:numFmt w:val="decimal"/>
      <w:isLgl/>
      <w:lvlText w:val="%1.%2."/>
      <w:lvlJc w:val="left"/>
      <w:pPr>
        <w:ind w:left="1434" w:hanging="360"/>
      </w:pPr>
      <w:rPr>
        <w:rFonts w:hint="default"/>
      </w:rPr>
    </w:lvl>
    <w:lvl w:ilvl="2">
      <w:start w:val="1"/>
      <w:numFmt w:val="decimal"/>
      <w:isLgl/>
      <w:lvlText w:val="%1.%2.%3."/>
      <w:lvlJc w:val="left"/>
      <w:pPr>
        <w:ind w:left="2508" w:hanging="720"/>
      </w:pPr>
      <w:rPr>
        <w:rFonts w:hint="default"/>
      </w:rPr>
    </w:lvl>
    <w:lvl w:ilvl="3">
      <w:start w:val="1"/>
      <w:numFmt w:val="decimal"/>
      <w:isLgl/>
      <w:lvlText w:val="%1.%2.%3.%4."/>
      <w:lvlJc w:val="left"/>
      <w:pPr>
        <w:ind w:left="3222" w:hanging="720"/>
      </w:pPr>
      <w:rPr>
        <w:rFonts w:hint="default"/>
      </w:rPr>
    </w:lvl>
    <w:lvl w:ilvl="4">
      <w:start w:val="1"/>
      <w:numFmt w:val="decimal"/>
      <w:isLgl/>
      <w:lvlText w:val="%1.%2.%3.%4.%5."/>
      <w:lvlJc w:val="left"/>
      <w:pPr>
        <w:ind w:left="4296" w:hanging="1080"/>
      </w:pPr>
      <w:rPr>
        <w:rFonts w:hint="default"/>
      </w:rPr>
    </w:lvl>
    <w:lvl w:ilvl="5">
      <w:start w:val="1"/>
      <w:numFmt w:val="decimal"/>
      <w:isLgl/>
      <w:lvlText w:val="%1.%2.%3.%4.%5.%6."/>
      <w:lvlJc w:val="left"/>
      <w:pPr>
        <w:ind w:left="5010" w:hanging="1080"/>
      </w:pPr>
      <w:rPr>
        <w:rFonts w:hint="default"/>
      </w:rPr>
    </w:lvl>
    <w:lvl w:ilvl="6">
      <w:start w:val="1"/>
      <w:numFmt w:val="decimal"/>
      <w:isLgl/>
      <w:lvlText w:val="%1.%2.%3.%4.%5.%6.%7."/>
      <w:lvlJc w:val="left"/>
      <w:pPr>
        <w:ind w:left="6084" w:hanging="1440"/>
      </w:pPr>
      <w:rPr>
        <w:rFonts w:hint="default"/>
      </w:rPr>
    </w:lvl>
    <w:lvl w:ilvl="7">
      <w:start w:val="1"/>
      <w:numFmt w:val="decimal"/>
      <w:isLgl/>
      <w:lvlText w:val="%1.%2.%3.%4.%5.%6.%7.%8."/>
      <w:lvlJc w:val="left"/>
      <w:pPr>
        <w:ind w:left="6798" w:hanging="1440"/>
      </w:pPr>
      <w:rPr>
        <w:rFonts w:hint="default"/>
      </w:rPr>
    </w:lvl>
    <w:lvl w:ilvl="8">
      <w:start w:val="1"/>
      <w:numFmt w:val="decimal"/>
      <w:isLgl/>
      <w:lvlText w:val="%1.%2.%3.%4.%5.%6.%7.%8.%9."/>
      <w:lvlJc w:val="left"/>
      <w:pPr>
        <w:ind w:left="7872" w:hanging="1800"/>
      </w:pPr>
      <w:rPr>
        <w:rFonts w:hint="default"/>
      </w:rPr>
    </w:lvl>
  </w:abstractNum>
  <w:abstractNum w:abstractNumId="2" w15:restartNumberingAfterBreak="0">
    <w:nsid w:val="4EF13A55"/>
    <w:multiLevelType w:val="hybridMultilevel"/>
    <w:tmpl w:val="1C1816A4"/>
    <w:lvl w:ilvl="0" w:tplc="281AEA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898633637">
    <w:abstractNumId w:val="0"/>
  </w:num>
  <w:num w:numId="2" w16cid:durableId="780686010">
    <w:abstractNumId w:val="2"/>
  </w:num>
  <w:num w:numId="3" w16cid:durableId="1499688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mAW0eNNV675lZUztuhcm/oKeh6ncmiEePvVQJGaxTg0FxZhQYmtAUuLogkOfuC03cq8SqFQgcRSfGlw7bfyIg==" w:salt="OkE/EKVl6hdZ5gn+UygbNw=="/>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286"/>
    <w:rsid w:val="0002148F"/>
    <w:rsid w:val="00027286"/>
    <w:rsid w:val="0004099D"/>
    <w:rsid w:val="00073B02"/>
    <w:rsid w:val="000749A8"/>
    <w:rsid w:val="00080723"/>
    <w:rsid w:val="001104C8"/>
    <w:rsid w:val="00112966"/>
    <w:rsid w:val="00124510"/>
    <w:rsid w:val="001335C3"/>
    <w:rsid w:val="0013634C"/>
    <w:rsid w:val="001443E1"/>
    <w:rsid w:val="00191BBA"/>
    <w:rsid w:val="001968FF"/>
    <w:rsid w:val="001A3453"/>
    <w:rsid w:val="001A3774"/>
    <w:rsid w:val="001E3242"/>
    <w:rsid w:val="00212818"/>
    <w:rsid w:val="00236266"/>
    <w:rsid w:val="00236640"/>
    <w:rsid w:val="002A799C"/>
    <w:rsid w:val="002D0F6F"/>
    <w:rsid w:val="002D4E70"/>
    <w:rsid w:val="002F07DB"/>
    <w:rsid w:val="0033584D"/>
    <w:rsid w:val="003529E2"/>
    <w:rsid w:val="00384E99"/>
    <w:rsid w:val="003911F1"/>
    <w:rsid w:val="003B48DA"/>
    <w:rsid w:val="003C2FA3"/>
    <w:rsid w:val="00420555"/>
    <w:rsid w:val="00470881"/>
    <w:rsid w:val="00493978"/>
    <w:rsid w:val="004A2BFA"/>
    <w:rsid w:val="004B4805"/>
    <w:rsid w:val="004F4890"/>
    <w:rsid w:val="00513A12"/>
    <w:rsid w:val="00520C89"/>
    <w:rsid w:val="005362B9"/>
    <w:rsid w:val="00570934"/>
    <w:rsid w:val="00574D8A"/>
    <w:rsid w:val="005B3BDF"/>
    <w:rsid w:val="005D12F3"/>
    <w:rsid w:val="005F6E94"/>
    <w:rsid w:val="00602DF8"/>
    <w:rsid w:val="00602E62"/>
    <w:rsid w:val="00653506"/>
    <w:rsid w:val="006C49FC"/>
    <w:rsid w:val="006D5F40"/>
    <w:rsid w:val="00726947"/>
    <w:rsid w:val="007615F0"/>
    <w:rsid w:val="007639C0"/>
    <w:rsid w:val="00772693"/>
    <w:rsid w:val="007810BC"/>
    <w:rsid w:val="007919BD"/>
    <w:rsid w:val="007B23D9"/>
    <w:rsid w:val="007D6B69"/>
    <w:rsid w:val="007E317F"/>
    <w:rsid w:val="007F1A68"/>
    <w:rsid w:val="008539E5"/>
    <w:rsid w:val="00855D8F"/>
    <w:rsid w:val="00866C16"/>
    <w:rsid w:val="00875915"/>
    <w:rsid w:val="00890B1E"/>
    <w:rsid w:val="008A266F"/>
    <w:rsid w:val="008A55E5"/>
    <w:rsid w:val="008B70A4"/>
    <w:rsid w:val="008C78F6"/>
    <w:rsid w:val="008D0CB1"/>
    <w:rsid w:val="008F1E26"/>
    <w:rsid w:val="008F7825"/>
    <w:rsid w:val="00934B8A"/>
    <w:rsid w:val="00956766"/>
    <w:rsid w:val="00963A2F"/>
    <w:rsid w:val="00976FEE"/>
    <w:rsid w:val="009D7D16"/>
    <w:rsid w:val="009F563A"/>
    <w:rsid w:val="00A312F7"/>
    <w:rsid w:val="00A743BE"/>
    <w:rsid w:val="00A74C12"/>
    <w:rsid w:val="00AB2A4C"/>
    <w:rsid w:val="00AB6476"/>
    <w:rsid w:val="00AC262F"/>
    <w:rsid w:val="00AC6FD1"/>
    <w:rsid w:val="00AC7943"/>
    <w:rsid w:val="00AE0869"/>
    <w:rsid w:val="00AE0D66"/>
    <w:rsid w:val="00AE48A3"/>
    <w:rsid w:val="00AF215E"/>
    <w:rsid w:val="00B02489"/>
    <w:rsid w:val="00B27409"/>
    <w:rsid w:val="00B4133C"/>
    <w:rsid w:val="00B64955"/>
    <w:rsid w:val="00BB6B45"/>
    <w:rsid w:val="00BC0A7D"/>
    <w:rsid w:val="00BD3D43"/>
    <w:rsid w:val="00C05F84"/>
    <w:rsid w:val="00C13D8E"/>
    <w:rsid w:val="00C25178"/>
    <w:rsid w:val="00C70F9E"/>
    <w:rsid w:val="00C83DCE"/>
    <w:rsid w:val="00C941DD"/>
    <w:rsid w:val="00CE4E6F"/>
    <w:rsid w:val="00CF16F3"/>
    <w:rsid w:val="00CF6D9C"/>
    <w:rsid w:val="00D04B85"/>
    <w:rsid w:val="00D301DF"/>
    <w:rsid w:val="00D82BE1"/>
    <w:rsid w:val="00D92E62"/>
    <w:rsid w:val="00DC3ADD"/>
    <w:rsid w:val="00DE0EDB"/>
    <w:rsid w:val="00DF37A5"/>
    <w:rsid w:val="00E012B1"/>
    <w:rsid w:val="00E057F6"/>
    <w:rsid w:val="00EA5938"/>
    <w:rsid w:val="00ED3EDE"/>
    <w:rsid w:val="00F0396B"/>
    <w:rsid w:val="00F07FCE"/>
    <w:rsid w:val="00F42B23"/>
    <w:rsid w:val="00F54EF7"/>
    <w:rsid w:val="00F7597D"/>
    <w:rsid w:val="00F769F7"/>
    <w:rsid w:val="00FB1DB8"/>
    <w:rsid w:val="00FE0098"/>
    <w:rsid w:val="00FF6B6A"/>
    <w:rsid w:val="00FF7097"/>
    <w:rsid w:val="00FF7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114FF"/>
  <w15:docId w15:val="{913D69A0-1867-40F6-8855-5D8828B49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3">
    <w:name w:val="heading 3"/>
    <w:basedOn w:val="prastasis"/>
    <w:next w:val="prastasis"/>
    <w:link w:val="Antrat3Diagrama"/>
    <w:unhideWhenUsed/>
    <w:qFormat/>
    <w:rsid w:val="00574D8A"/>
    <w:pPr>
      <w:keepNext/>
      <w:keepLines/>
      <w:spacing w:before="200" w:after="0" w:line="240" w:lineRule="auto"/>
      <w:outlineLvl w:val="2"/>
    </w:pPr>
    <w:rPr>
      <w:rFonts w:asciiTheme="majorHAnsi" w:eastAsiaTheme="majorEastAsia" w:hAnsiTheme="majorHAnsi" w:cstheme="majorBidi"/>
      <w:b/>
      <w:bCs/>
      <w:color w:val="5B9BD5" w:themeColor="accent1"/>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27286"/>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27286"/>
  </w:style>
  <w:style w:type="paragraph" w:styleId="Porat">
    <w:name w:val="footer"/>
    <w:basedOn w:val="prastasis"/>
    <w:link w:val="PoratDiagrama"/>
    <w:uiPriority w:val="99"/>
    <w:unhideWhenUsed/>
    <w:rsid w:val="00027286"/>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27286"/>
  </w:style>
  <w:style w:type="table" w:styleId="Lentelstinklelis">
    <w:name w:val="Table Grid"/>
    <w:basedOn w:val="prastojilentel"/>
    <w:uiPriority w:val="39"/>
    <w:rsid w:val="0002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25178"/>
    <w:rPr>
      <w:color w:val="0563C1" w:themeColor="hyperlink"/>
      <w:u w:val="single"/>
    </w:rPr>
  </w:style>
  <w:style w:type="paragraph" w:styleId="Debesliotekstas">
    <w:name w:val="Balloon Text"/>
    <w:basedOn w:val="prastasis"/>
    <w:link w:val="DebesliotekstasDiagrama"/>
    <w:uiPriority w:val="99"/>
    <w:semiHidden/>
    <w:unhideWhenUsed/>
    <w:rsid w:val="00C2517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5178"/>
    <w:rPr>
      <w:rFonts w:ascii="Segoe UI" w:hAnsi="Segoe UI" w:cs="Segoe UI"/>
      <w:sz w:val="18"/>
      <w:szCs w:val="18"/>
    </w:rPr>
  </w:style>
  <w:style w:type="paragraph" w:styleId="Sraopastraipa">
    <w:name w:val="List Paragraph"/>
    <w:basedOn w:val="prastasis"/>
    <w:uiPriority w:val="34"/>
    <w:qFormat/>
    <w:rsid w:val="00A74C12"/>
    <w:pPr>
      <w:ind w:left="720"/>
      <w:contextualSpacing/>
    </w:pPr>
  </w:style>
  <w:style w:type="character" w:customStyle="1" w:styleId="Antrat3Diagrama">
    <w:name w:val="Antraštė 3 Diagrama"/>
    <w:basedOn w:val="Numatytasispastraiposriftas"/>
    <w:link w:val="Antrat3"/>
    <w:rsid w:val="00574D8A"/>
    <w:rPr>
      <w:rFonts w:asciiTheme="majorHAnsi" w:eastAsiaTheme="majorEastAsia" w:hAnsiTheme="majorHAnsi" w:cstheme="majorBidi"/>
      <w:b/>
      <w:bCs/>
      <w:color w:val="5B9BD5" w:themeColor="accent1"/>
      <w:sz w:val="20"/>
      <w:szCs w:val="20"/>
      <w:lang w:val="lt-LT"/>
    </w:rPr>
  </w:style>
  <w:style w:type="character" w:styleId="Neapdorotaspaminjimas">
    <w:name w:val="Unresolved Mention"/>
    <w:basedOn w:val="Numatytasispastraiposriftas"/>
    <w:uiPriority w:val="99"/>
    <w:semiHidden/>
    <w:unhideWhenUsed/>
    <w:rsid w:val="002D4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446170">
      <w:bodyDiv w:val="1"/>
      <w:marLeft w:val="0"/>
      <w:marRight w:val="0"/>
      <w:marTop w:val="0"/>
      <w:marBottom w:val="0"/>
      <w:divBdr>
        <w:top w:val="none" w:sz="0" w:space="0" w:color="auto"/>
        <w:left w:val="none" w:sz="0" w:space="0" w:color="auto"/>
        <w:bottom w:val="none" w:sz="0" w:space="0" w:color="auto"/>
        <w:right w:val="none" w:sz="0" w:space="0" w:color="auto"/>
      </w:divBdr>
    </w:div>
    <w:div w:id="1017384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etcode.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emokumas.avnt.l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avnt.lrv.lt" TargetMode="External"/><Relationship Id="rId2" Type="http://schemas.openxmlformats.org/officeDocument/2006/relationships/hyperlink" Target="mailto:info@avnt.lt"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s://avnt.lrv.lt" TargetMode="External"/><Relationship Id="rId2" Type="http://schemas.openxmlformats.org/officeDocument/2006/relationships/hyperlink" Target="mailto:info@avnt.lt"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A26CD-6B95-498D-A386-7B42B3783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2423</Words>
  <Characters>1382</Characters>
  <Application>Microsoft Office Word</Application>
  <DocSecurity>8</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Leskauskienė</dc:creator>
  <cp:keywords/>
  <dc:description/>
  <cp:lastModifiedBy>Laima Snieganaitė</cp:lastModifiedBy>
  <cp:revision>1</cp:revision>
  <cp:lastPrinted>2018-09-07T05:54:00Z</cp:lastPrinted>
  <dcterms:created xsi:type="dcterms:W3CDTF">2025-07-16T12:57:00Z</dcterms:created>
  <dcterms:modified xsi:type="dcterms:W3CDTF">2025-07-16T12:57:00Z</dcterms:modified>
</cp:coreProperties>
</file>