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E349B" w14:textId="77777777" w:rsidR="001041AA" w:rsidRPr="00BA53E3" w:rsidRDefault="001041AA" w:rsidP="001041AA">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5DC4CCD6" w14:textId="77777777" w:rsidR="001041AA" w:rsidRPr="00BA53E3" w:rsidRDefault="001041AA" w:rsidP="001041AA">
      <w:pPr>
        <w:pStyle w:val="ListParagraph"/>
        <w:tabs>
          <w:tab w:val="left" w:pos="284"/>
        </w:tabs>
        <w:spacing w:before="60" w:after="60"/>
        <w:ind w:left="0" w:firstLine="0"/>
        <w:contextualSpacing w:val="0"/>
        <w:jc w:val="center"/>
        <w:rPr>
          <w:rFonts w:cs="Arial"/>
          <w:b/>
          <w:bCs/>
          <w:sz w:val="20"/>
          <w:szCs w:val="20"/>
        </w:rPr>
      </w:pPr>
    </w:p>
    <w:p w14:paraId="61F3263A" w14:textId="77777777" w:rsidR="001041AA" w:rsidRPr="00BA53E3" w:rsidRDefault="001041AA" w:rsidP="001041AA">
      <w:pPr>
        <w:pStyle w:val="ListParagraph"/>
        <w:numPr>
          <w:ilvl w:val="0"/>
          <w:numId w:val="4"/>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480E5BE8" w14:textId="77777777" w:rsidR="001041AA" w:rsidRPr="00BA53E3" w:rsidRDefault="001041AA" w:rsidP="001041AA">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 xml:space="preserve">Pirkėjas </w:t>
      </w:r>
      <w:r w:rsidRPr="00BA53E3">
        <w:rPr>
          <w:rFonts w:cs="Arial"/>
          <w:sz w:val="20"/>
          <w:szCs w:val="20"/>
        </w:rPr>
        <w:t xml:space="preserve">– </w:t>
      </w:r>
      <w:sdt>
        <w:sdtPr>
          <w:rPr>
            <w:rStyle w:val="Laukeliai"/>
            <w:rFonts w:cs="Arial"/>
            <w:szCs w:val="20"/>
          </w:rPr>
          <w:id w:val="382223612"/>
          <w:placeholder>
            <w:docPart w:val="7DED79EA55DB45B3BC28E805B8972CC5"/>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„Energijos skirstymo operatorius"</w:t>
          </w:r>
        </w:sdtContent>
      </w:sdt>
    </w:p>
    <w:p w14:paraId="69E8AF24" w14:textId="77777777" w:rsidR="001041AA" w:rsidRPr="00BA53E3" w:rsidRDefault="001041AA" w:rsidP="001041AA">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bCs/>
          <w:sz w:val="20"/>
          <w:szCs w:val="20"/>
        </w:rPr>
        <w:t>Tiekėjas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Pirkėjas sudaro Sutartį.</w:t>
      </w:r>
    </w:p>
    <w:p w14:paraId="1E93EC72" w14:textId="77777777" w:rsidR="001041AA" w:rsidRPr="00BA53E3" w:rsidRDefault="001041AA" w:rsidP="001041AA">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Tiekėjo ir Pirkėjo dėl Pirkimo objekto.</w:t>
      </w:r>
    </w:p>
    <w:p w14:paraId="2BE28843" w14:textId="77777777" w:rsidR="001041AA" w:rsidRPr="00BA53E3" w:rsidRDefault="001041AA" w:rsidP="001041AA">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Prekės</w:t>
      </w:r>
      <w:r w:rsidRPr="00BA53E3">
        <w:rPr>
          <w:rFonts w:cs="Arial"/>
          <w:sz w:val="20"/>
          <w:szCs w:val="20"/>
        </w:rPr>
        <w:t xml:space="preserve"> – </w:t>
      </w:r>
      <w:r w:rsidRPr="008F6906">
        <w:rPr>
          <w:rFonts w:cs="Arial"/>
          <w:sz w:val="20"/>
          <w:szCs w:val="20"/>
        </w:rPr>
        <w:t>Elektros energija su balansavimo paslauga.</w:t>
      </w:r>
    </w:p>
    <w:p w14:paraId="2C924AAF" w14:textId="77777777" w:rsidR="001041AA" w:rsidRDefault="001041AA" w:rsidP="001041AA">
      <w:pPr>
        <w:pStyle w:val="ListParagraph"/>
        <w:numPr>
          <w:ilvl w:val="1"/>
          <w:numId w:val="1"/>
        </w:numPr>
        <w:tabs>
          <w:tab w:val="left" w:pos="540"/>
        </w:tabs>
        <w:ind w:left="0" w:firstLine="0"/>
        <w:rPr>
          <w:rFonts w:cs="Arial"/>
          <w:sz w:val="20"/>
          <w:szCs w:val="20"/>
        </w:rPr>
      </w:pPr>
      <w:r w:rsidRPr="00BA53E3">
        <w:rPr>
          <w:rFonts w:cs="Arial"/>
          <w:b/>
          <w:sz w:val="20"/>
          <w:szCs w:val="20"/>
        </w:rPr>
        <w:t>Užsakymas</w:t>
      </w:r>
      <w:r w:rsidRPr="00BA53E3">
        <w:rPr>
          <w:rFonts w:cs="Arial"/>
          <w:sz w:val="20"/>
          <w:szCs w:val="20"/>
        </w:rPr>
        <w:t xml:space="preserve"> – Pirkėjo Tiekėjui pateiktas Prekių tiekimui dokumentas, kuriame nurodomi Prekių kiekiai, pristatymo adresai ir terminas.</w:t>
      </w:r>
    </w:p>
    <w:p w14:paraId="0347D4F9" w14:textId="77777777" w:rsidR="001041AA" w:rsidRPr="00EA2FAD" w:rsidRDefault="001041AA" w:rsidP="001041AA">
      <w:pPr>
        <w:pStyle w:val="ListParagraph"/>
        <w:numPr>
          <w:ilvl w:val="1"/>
          <w:numId w:val="1"/>
        </w:numPr>
        <w:tabs>
          <w:tab w:val="left" w:pos="540"/>
        </w:tabs>
        <w:ind w:left="0" w:firstLine="0"/>
        <w:rPr>
          <w:rFonts w:cs="Arial"/>
          <w:b/>
          <w:sz w:val="20"/>
          <w:szCs w:val="20"/>
        </w:rPr>
      </w:pPr>
      <w:r w:rsidRPr="00105DB1">
        <w:rPr>
          <w:b/>
          <w:sz w:val="20"/>
          <w:szCs w:val="20"/>
        </w:rPr>
        <w:t>BET</w:t>
      </w:r>
      <w:r w:rsidR="00A54797">
        <w:rPr>
          <w:sz w:val="20"/>
          <w:szCs w:val="20"/>
        </w:rPr>
        <w:t xml:space="preserve"> </w:t>
      </w:r>
      <w:r w:rsidR="00A54797" w:rsidRPr="00BA53E3">
        <w:rPr>
          <w:rFonts w:cs="Arial"/>
          <w:sz w:val="20"/>
          <w:szCs w:val="20"/>
        </w:rPr>
        <w:t>–</w:t>
      </w:r>
      <w:r w:rsidR="00A54797">
        <w:rPr>
          <w:rFonts w:cs="Arial"/>
          <w:sz w:val="20"/>
          <w:szCs w:val="20"/>
        </w:rPr>
        <w:t xml:space="preserve"> </w:t>
      </w:r>
      <w:r>
        <w:rPr>
          <w:sz w:val="20"/>
          <w:szCs w:val="20"/>
        </w:rPr>
        <w:t>asmuo, pagal LR įstatymus veikiantis kaip elektros energijos nepriklausomas tiekėjas ir kaip balansavimo energijos tiekėjas.</w:t>
      </w:r>
    </w:p>
    <w:p w14:paraId="75C20D2D" w14:textId="77777777" w:rsidR="001041AA" w:rsidRPr="00B06EEE" w:rsidRDefault="001041AA" w:rsidP="001041AA">
      <w:pPr>
        <w:pStyle w:val="ListParagraph"/>
        <w:numPr>
          <w:ilvl w:val="1"/>
          <w:numId w:val="1"/>
        </w:numPr>
        <w:tabs>
          <w:tab w:val="left" w:pos="540"/>
        </w:tabs>
        <w:ind w:left="0" w:firstLine="0"/>
        <w:rPr>
          <w:rFonts w:cs="Arial"/>
          <w:sz w:val="20"/>
          <w:szCs w:val="20"/>
        </w:rPr>
      </w:pPr>
      <w:r w:rsidRPr="001A58AC">
        <w:rPr>
          <w:rFonts w:cs="Arial"/>
          <w:b/>
          <w:sz w:val="20"/>
          <w:szCs w:val="20"/>
        </w:rPr>
        <w:t xml:space="preserve">PSO </w:t>
      </w:r>
      <w:r w:rsidRPr="00A54797">
        <w:rPr>
          <w:rFonts w:cs="Arial"/>
          <w:sz w:val="20"/>
          <w:szCs w:val="20"/>
        </w:rPr>
        <w:t>–</w:t>
      </w:r>
      <w:r>
        <w:rPr>
          <w:rFonts w:cs="Arial"/>
          <w:b/>
          <w:sz w:val="20"/>
          <w:szCs w:val="20"/>
        </w:rPr>
        <w:t xml:space="preserve"> </w:t>
      </w:r>
      <w:r w:rsidRPr="00EA2FAD">
        <w:rPr>
          <w:rFonts w:cs="Arial"/>
          <w:sz w:val="20"/>
          <w:szCs w:val="20"/>
        </w:rPr>
        <w:t>Perdavimo sistemos operatorius.</w:t>
      </w:r>
    </w:p>
    <w:p w14:paraId="30806472" w14:textId="77777777" w:rsidR="001041AA" w:rsidRPr="00BA53E3" w:rsidRDefault="001041AA" w:rsidP="001041AA">
      <w:pPr>
        <w:pStyle w:val="ListParagraph"/>
        <w:tabs>
          <w:tab w:val="left" w:pos="284"/>
        </w:tabs>
        <w:spacing w:before="60" w:after="60"/>
        <w:ind w:left="0" w:firstLine="0"/>
        <w:contextualSpacing w:val="0"/>
        <w:jc w:val="center"/>
        <w:rPr>
          <w:rFonts w:cs="Arial"/>
          <w:b/>
          <w:bCs/>
          <w:sz w:val="20"/>
          <w:szCs w:val="20"/>
        </w:rPr>
      </w:pPr>
    </w:p>
    <w:p w14:paraId="489A45F3" w14:textId="77777777" w:rsidR="001041AA" w:rsidRPr="00BA53E3" w:rsidRDefault="001041AA" w:rsidP="001041AA">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617A61A1" w14:textId="1CD446D6" w:rsidR="001041AA" w:rsidRPr="00653FEC" w:rsidRDefault="001041AA" w:rsidP="001041AA">
      <w:pPr>
        <w:pStyle w:val="ListParagraph"/>
        <w:numPr>
          <w:ilvl w:val="1"/>
          <w:numId w:val="4"/>
        </w:numPr>
        <w:tabs>
          <w:tab w:val="left" w:pos="540"/>
          <w:tab w:val="left" w:pos="720"/>
        </w:tabs>
        <w:spacing w:before="60" w:after="60"/>
        <w:ind w:hanging="720"/>
        <w:jc w:val="both"/>
        <w:rPr>
          <w:rFonts w:cs="Arial"/>
          <w:sz w:val="20"/>
          <w:szCs w:val="20"/>
        </w:rPr>
      </w:pPr>
      <w:r w:rsidRPr="00653FEC">
        <w:rPr>
          <w:rFonts w:cs="Arial"/>
          <w:sz w:val="20"/>
          <w:szCs w:val="20"/>
        </w:rPr>
        <w:t xml:space="preserve">Elektros </w:t>
      </w:r>
      <w:r w:rsidR="00565A17">
        <w:rPr>
          <w:rFonts w:cs="Arial"/>
          <w:sz w:val="20"/>
          <w:szCs w:val="20"/>
        </w:rPr>
        <w:t>energija su balansavimo paslauga.</w:t>
      </w:r>
    </w:p>
    <w:p w14:paraId="2F003BF9" w14:textId="77777777" w:rsidR="001041AA" w:rsidRPr="00BA53E3" w:rsidRDefault="001041AA" w:rsidP="001041AA">
      <w:pPr>
        <w:spacing w:before="60" w:after="60"/>
        <w:ind w:firstLine="0"/>
        <w:jc w:val="both"/>
        <w:rPr>
          <w:rFonts w:cs="Arial"/>
          <w:sz w:val="20"/>
          <w:szCs w:val="20"/>
        </w:rPr>
      </w:pPr>
    </w:p>
    <w:p w14:paraId="37099B2C" w14:textId="77777777" w:rsidR="001041AA" w:rsidRPr="00BA53E3" w:rsidRDefault="001041AA" w:rsidP="001041AA">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0692A70D" w14:textId="78EADFF7" w:rsidR="001041AA" w:rsidRPr="00845CC4" w:rsidRDefault="001041AA" w:rsidP="001041AA">
      <w:pPr>
        <w:pStyle w:val="ListParagraph"/>
        <w:spacing w:before="60" w:after="60"/>
        <w:ind w:left="0" w:firstLine="0"/>
        <w:jc w:val="both"/>
        <w:rPr>
          <w:rFonts w:cs="Arial"/>
          <w:color w:val="000000" w:themeColor="text1"/>
          <w:sz w:val="20"/>
          <w:szCs w:val="20"/>
        </w:rPr>
      </w:pPr>
      <w:r w:rsidRPr="00845CC4">
        <w:rPr>
          <w:rFonts w:cs="Arial"/>
          <w:sz w:val="20"/>
          <w:szCs w:val="20"/>
        </w:rPr>
        <w:t xml:space="preserve">3.1. </w:t>
      </w:r>
      <w:r w:rsidRPr="00845CC4">
        <w:rPr>
          <w:rFonts w:cs="Arial"/>
          <w:color w:val="000000" w:themeColor="text1"/>
          <w:sz w:val="20"/>
          <w:szCs w:val="20"/>
        </w:rPr>
        <w:t xml:space="preserve">Sutarties galiojimo laikotarpiu metinis </w:t>
      </w:r>
      <w:r>
        <w:rPr>
          <w:rFonts w:cs="Arial"/>
          <w:color w:val="000000" w:themeColor="text1"/>
          <w:sz w:val="20"/>
          <w:szCs w:val="20"/>
        </w:rPr>
        <w:t xml:space="preserve">preliminarus </w:t>
      </w:r>
      <w:r w:rsidRPr="00845CC4">
        <w:rPr>
          <w:rFonts w:cs="Arial"/>
          <w:color w:val="000000" w:themeColor="text1"/>
          <w:sz w:val="20"/>
          <w:szCs w:val="20"/>
        </w:rPr>
        <w:t xml:space="preserve">perkamų Prekių kiekis –  </w:t>
      </w:r>
      <w:r>
        <w:rPr>
          <w:rFonts w:cs="Arial"/>
          <w:color w:val="000000" w:themeColor="text1"/>
          <w:sz w:val="20"/>
          <w:szCs w:val="20"/>
        </w:rPr>
        <w:t xml:space="preserve">600.000 </w:t>
      </w:r>
      <w:r w:rsidRPr="00845CC4">
        <w:rPr>
          <w:rFonts w:cs="Arial"/>
          <w:color w:val="000000" w:themeColor="text1"/>
          <w:sz w:val="20"/>
          <w:szCs w:val="20"/>
        </w:rPr>
        <w:t>MWh.</w:t>
      </w:r>
      <w:r w:rsidRPr="00845CC4">
        <w:rPr>
          <w:color w:val="000000" w:themeColor="text1"/>
        </w:rPr>
        <w:t xml:space="preserve"> </w:t>
      </w:r>
      <w:r w:rsidRPr="00845CC4">
        <w:rPr>
          <w:rFonts w:cs="Arial"/>
          <w:color w:val="000000" w:themeColor="text1"/>
          <w:sz w:val="20"/>
          <w:szCs w:val="20"/>
        </w:rPr>
        <w:t>Pirkėjas neįsipareigoja nupirkti viso nurodyto kiekio</w:t>
      </w:r>
      <w:r w:rsidR="00E855C0">
        <w:rPr>
          <w:rFonts w:cs="Arial"/>
          <w:color w:val="000000" w:themeColor="text1"/>
          <w:sz w:val="20"/>
          <w:szCs w:val="20"/>
        </w:rPr>
        <w:t>,</w:t>
      </w:r>
      <w:r w:rsidR="00E855C0" w:rsidRPr="00E855C0">
        <w:t xml:space="preserve"> </w:t>
      </w:r>
      <w:r w:rsidR="00E855C0" w:rsidRPr="00E855C0">
        <w:rPr>
          <w:rFonts w:cs="Arial"/>
          <w:color w:val="000000" w:themeColor="text1"/>
          <w:sz w:val="20"/>
          <w:szCs w:val="20"/>
        </w:rPr>
        <w:t>tačiau Pirkėjas turi teisę pirkti Prekes, įskaitant balansavimą, iki bendros Sutarties kainos.</w:t>
      </w:r>
    </w:p>
    <w:p w14:paraId="431F5CD0" w14:textId="77777777" w:rsidR="001041AA" w:rsidRPr="00845CC4" w:rsidRDefault="001041AA" w:rsidP="001041AA">
      <w:pPr>
        <w:pStyle w:val="ListParagraph"/>
        <w:spacing w:before="60" w:after="60"/>
        <w:ind w:left="0" w:firstLine="0"/>
        <w:jc w:val="both"/>
        <w:rPr>
          <w:rFonts w:cs="Arial"/>
          <w:color w:val="000000" w:themeColor="text1"/>
          <w:sz w:val="20"/>
          <w:szCs w:val="20"/>
        </w:rPr>
      </w:pPr>
      <w:r w:rsidRPr="00845CC4">
        <w:rPr>
          <w:rFonts w:cs="Arial"/>
          <w:color w:val="000000" w:themeColor="text1"/>
          <w:sz w:val="20"/>
          <w:szCs w:val="20"/>
        </w:rPr>
        <w:t xml:space="preserve">3.2. Minimalus perkamų Prekių kiekis – </w:t>
      </w:r>
      <w:r>
        <w:rPr>
          <w:rFonts w:cs="Arial"/>
          <w:color w:val="000000" w:themeColor="text1"/>
          <w:sz w:val="20"/>
          <w:szCs w:val="20"/>
        </w:rPr>
        <w:t>300.000</w:t>
      </w:r>
      <w:r w:rsidRPr="00845CC4">
        <w:rPr>
          <w:rFonts w:cs="Arial"/>
          <w:color w:val="000000" w:themeColor="text1"/>
          <w:sz w:val="20"/>
          <w:szCs w:val="20"/>
        </w:rPr>
        <w:t xml:space="preserve"> MWh.</w:t>
      </w:r>
    </w:p>
    <w:p w14:paraId="25386F28" w14:textId="77777777" w:rsidR="001041AA" w:rsidRPr="00845CC4" w:rsidRDefault="001041AA" w:rsidP="001041AA">
      <w:pPr>
        <w:pStyle w:val="ListParagraph"/>
        <w:tabs>
          <w:tab w:val="left" w:pos="1080"/>
        </w:tabs>
        <w:ind w:left="0" w:firstLine="0"/>
        <w:jc w:val="both"/>
        <w:rPr>
          <w:rFonts w:cs="Calibri"/>
          <w:color w:val="000000" w:themeColor="text1"/>
          <w:sz w:val="20"/>
          <w:szCs w:val="20"/>
        </w:rPr>
      </w:pPr>
      <w:r w:rsidRPr="00845CC4">
        <w:rPr>
          <w:rFonts w:cs="Calibri"/>
          <w:color w:val="000000" w:themeColor="text1"/>
          <w:sz w:val="20"/>
          <w:szCs w:val="20"/>
        </w:rPr>
        <w:t>3.3. Perkamos elektros energijos preliminaraus kiekio</w:t>
      </w:r>
      <w:r w:rsidRPr="008C2765">
        <w:rPr>
          <w:rStyle w:val="FootnoteReference"/>
          <w:rFonts w:cs="Calibri"/>
          <w:color w:val="000000" w:themeColor="text1"/>
          <w:sz w:val="20"/>
          <w:szCs w:val="20"/>
        </w:rPr>
        <w:footnoteReference w:id="1"/>
      </w:r>
      <w:r w:rsidRPr="00845CC4">
        <w:rPr>
          <w:rFonts w:cs="Calibri"/>
          <w:color w:val="000000" w:themeColor="text1"/>
          <w:sz w:val="20"/>
          <w:szCs w:val="20"/>
        </w:rPr>
        <w:t xml:space="preserve"> tiekimas metų eigoje suderintu grafiku, pateikiamas lentelėje Nr. 1. </w:t>
      </w:r>
    </w:p>
    <w:p w14:paraId="010D11F9" w14:textId="77777777" w:rsidR="001041AA" w:rsidRPr="00C65C42" w:rsidRDefault="001041AA" w:rsidP="001041AA">
      <w:pPr>
        <w:tabs>
          <w:tab w:val="left" w:pos="1080"/>
        </w:tabs>
        <w:ind w:firstLine="0"/>
        <w:jc w:val="right"/>
        <w:rPr>
          <w:rFonts w:cs="Calibri"/>
          <w:color w:val="000000" w:themeColor="text1"/>
          <w:sz w:val="20"/>
          <w:szCs w:val="20"/>
        </w:rPr>
      </w:pPr>
      <w:r w:rsidRPr="00C65C42">
        <w:rPr>
          <w:rFonts w:cs="Calibri"/>
          <w:color w:val="000000" w:themeColor="text1"/>
          <w:sz w:val="20"/>
          <w:szCs w:val="20"/>
        </w:rPr>
        <w:lastRenderedPageBreak/>
        <w:t xml:space="preserve">Lentelė  Nr. 1 </w:t>
      </w:r>
    </w:p>
    <w:tbl>
      <w:tblPr>
        <w:tblStyle w:val="TableGrid1"/>
        <w:tblW w:w="10343" w:type="dxa"/>
        <w:jc w:val="center"/>
        <w:tblInd w:w="0" w:type="dxa"/>
        <w:tblLayout w:type="fixed"/>
        <w:tblLook w:val="04A0" w:firstRow="1" w:lastRow="0" w:firstColumn="1" w:lastColumn="0" w:noHBand="0" w:noVBand="1"/>
      </w:tblPr>
      <w:tblGrid>
        <w:gridCol w:w="567"/>
        <w:gridCol w:w="709"/>
        <w:gridCol w:w="846"/>
        <w:gridCol w:w="708"/>
        <w:gridCol w:w="851"/>
        <w:gridCol w:w="850"/>
        <w:gridCol w:w="851"/>
        <w:gridCol w:w="709"/>
        <w:gridCol w:w="992"/>
        <w:gridCol w:w="850"/>
        <w:gridCol w:w="709"/>
        <w:gridCol w:w="851"/>
        <w:gridCol w:w="850"/>
      </w:tblGrid>
      <w:tr w:rsidR="001041AA" w:rsidRPr="00C96830" w14:paraId="17EA2AA6" w14:textId="77777777" w:rsidTr="00EF3DF2">
        <w:trPr>
          <w:trHeight w:val="248"/>
          <w:jc w:val="center"/>
        </w:trPr>
        <w:tc>
          <w:tcPr>
            <w:tcW w:w="567" w:type="dxa"/>
            <w:tcBorders>
              <w:top w:val="single" w:sz="4" w:space="0" w:color="auto"/>
              <w:left w:val="single" w:sz="4" w:space="0" w:color="auto"/>
              <w:bottom w:val="single" w:sz="4" w:space="0" w:color="auto"/>
              <w:right w:val="single" w:sz="4" w:space="0" w:color="auto"/>
            </w:tcBorders>
            <w:hideMark/>
          </w:tcPr>
          <w:p w14:paraId="6D773906"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M</w:t>
            </w:r>
            <w:r>
              <w:rPr>
                <w:rFonts w:cs="Calibri"/>
                <w:color w:val="000000" w:themeColor="text1"/>
                <w:sz w:val="16"/>
                <w:szCs w:val="16"/>
                <w:lang w:eastAsia="x-none"/>
              </w:rPr>
              <w:t>ėn</w:t>
            </w:r>
          </w:p>
        </w:tc>
        <w:tc>
          <w:tcPr>
            <w:tcW w:w="709" w:type="dxa"/>
            <w:tcBorders>
              <w:top w:val="single" w:sz="4" w:space="0" w:color="auto"/>
              <w:left w:val="single" w:sz="4" w:space="0" w:color="auto"/>
              <w:bottom w:val="single" w:sz="4" w:space="0" w:color="auto"/>
              <w:right w:val="single" w:sz="4" w:space="0" w:color="auto"/>
            </w:tcBorders>
            <w:hideMark/>
          </w:tcPr>
          <w:p w14:paraId="11D38488" w14:textId="77777777" w:rsidR="001041AA" w:rsidRPr="00C96830" w:rsidRDefault="001041AA" w:rsidP="00EF3DF2">
            <w:pPr>
              <w:tabs>
                <w:tab w:val="left" w:pos="1080"/>
              </w:tabs>
              <w:ind w:firstLine="0"/>
              <w:jc w:val="both"/>
              <w:rPr>
                <w:rFonts w:ascii="Calibri" w:hAnsi="Calibri" w:cs="Calibri"/>
                <w:color w:val="000000" w:themeColor="text1"/>
                <w:sz w:val="16"/>
                <w:szCs w:val="16"/>
                <w:lang w:eastAsia="x-none"/>
              </w:rPr>
            </w:pPr>
            <w:r w:rsidRPr="00C96830">
              <w:rPr>
                <w:rFonts w:cs="Calibri"/>
                <w:color w:val="000000" w:themeColor="text1"/>
                <w:sz w:val="16"/>
                <w:szCs w:val="16"/>
                <w:lang w:eastAsia="x-none"/>
              </w:rPr>
              <w:t>Sausis</w:t>
            </w:r>
          </w:p>
        </w:tc>
        <w:tc>
          <w:tcPr>
            <w:tcW w:w="846" w:type="dxa"/>
            <w:tcBorders>
              <w:top w:val="single" w:sz="4" w:space="0" w:color="auto"/>
              <w:left w:val="single" w:sz="4" w:space="0" w:color="auto"/>
              <w:bottom w:val="single" w:sz="4" w:space="0" w:color="auto"/>
              <w:right w:val="single" w:sz="4" w:space="0" w:color="auto"/>
            </w:tcBorders>
            <w:hideMark/>
          </w:tcPr>
          <w:p w14:paraId="7A902341"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Vasaris</w:t>
            </w:r>
          </w:p>
        </w:tc>
        <w:tc>
          <w:tcPr>
            <w:tcW w:w="708" w:type="dxa"/>
            <w:tcBorders>
              <w:top w:val="single" w:sz="4" w:space="0" w:color="auto"/>
              <w:left w:val="single" w:sz="4" w:space="0" w:color="auto"/>
              <w:bottom w:val="single" w:sz="4" w:space="0" w:color="auto"/>
              <w:right w:val="single" w:sz="4" w:space="0" w:color="auto"/>
            </w:tcBorders>
            <w:hideMark/>
          </w:tcPr>
          <w:p w14:paraId="06A56A41"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Kovas</w:t>
            </w:r>
          </w:p>
        </w:tc>
        <w:tc>
          <w:tcPr>
            <w:tcW w:w="851" w:type="dxa"/>
            <w:tcBorders>
              <w:top w:val="single" w:sz="4" w:space="0" w:color="auto"/>
              <w:left w:val="single" w:sz="4" w:space="0" w:color="auto"/>
              <w:bottom w:val="single" w:sz="4" w:space="0" w:color="auto"/>
              <w:right w:val="single" w:sz="4" w:space="0" w:color="auto"/>
            </w:tcBorders>
            <w:hideMark/>
          </w:tcPr>
          <w:p w14:paraId="12E9F9FC"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Balandis</w:t>
            </w:r>
          </w:p>
        </w:tc>
        <w:tc>
          <w:tcPr>
            <w:tcW w:w="850" w:type="dxa"/>
            <w:tcBorders>
              <w:top w:val="single" w:sz="4" w:space="0" w:color="auto"/>
              <w:left w:val="single" w:sz="4" w:space="0" w:color="auto"/>
              <w:bottom w:val="single" w:sz="4" w:space="0" w:color="auto"/>
              <w:right w:val="single" w:sz="4" w:space="0" w:color="auto"/>
            </w:tcBorders>
            <w:hideMark/>
          </w:tcPr>
          <w:p w14:paraId="3527FF21"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Gegužė</w:t>
            </w:r>
          </w:p>
        </w:tc>
        <w:tc>
          <w:tcPr>
            <w:tcW w:w="851" w:type="dxa"/>
            <w:tcBorders>
              <w:top w:val="single" w:sz="4" w:space="0" w:color="auto"/>
              <w:left w:val="single" w:sz="4" w:space="0" w:color="auto"/>
              <w:bottom w:val="single" w:sz="4" w:space="0" w:color="auto"/>
              <w:right w:val="single" w:sz="4" w:space="0" w:color="auto"/>
            </w:tcBorders>
            <w:hideMark/>
          </w:tcPr>
          <w:p w14:paraId="5A7372DF"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Birželis</w:t>
            </w:r>
          </w:p>
        </w:tc>
        <w:tc>
          <w:tcPr>
            <w:tcW w:w="709" w:type="dxa"/>
            <w:tcBorders>
              <w:top w:val="single" w:sz="4" w:space="0" w:color="auto"/>
              <w:left w:val="single" w:sz="4" w:space="0" w:color="auto"/>
              <w:bottom w:val="single" w:sz="4" w:space="0" w:color="auto"/>
              <w:right w:val="single" w:sz="4" w:space="0" w:color="auto"/>
            </w:tcBorders>
            <w:hideMark/>
          </w:tcPr>
          <w:p w14:paraId="1A0AC5B5"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Liepa</w:t>
            </w:r>
          </w:p>
        </w:tc>
        <w:tc>
          <w:tcPr>
            <w:tcW w:w="992" w:type="dxa"/>
            <w:tcBorders>
              <w:top w:val="single" w:sz="4" w:space="0" w:color="auto"/>
              <w:left w:val="single" w:sz="4" w:space="0" w:color="auto"/>
              <w:bottom w:val="single" w:sz="4" w:space="0" w:color="auto"/>
              <w:right w:val="single" w:sz="4" w:space="0" w:color="auto"/>
            </w:tcBorders>
            <w:hideMark/>
          </w:tcPr>
          <w:p w14:paraId="2A4F6B6D"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Rugpjūtis</w:t>
            </w:r>
          </w:p>
        </w:tc>
        <w:tc>
          <w:tcPr>
            <w:tcW w:w="850" w:type="dxa"/>
            <w:tcBorders>
              <w:top w:val="single" w:sz="4" w:space="0" w:color="auto"/>
              <w:left w:val="single" w:sz="4" w:space="0" w:color="auto"/>
              <w:bottom w:val="single" w:sz="4" w:space="0" w:color="auto"/>
              <w:right w:val="single" w:sz="4" w:space="0" w:color="auto"/>
            </w:tcBorders>
            <w:hideMark/>
          </w:tcPr>
          <w:p w14:paraId="43D8F0B1"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Rugsėji</w:t>
            </w:r>
            <w:r>
              <w:rPr>
                <w:rFonts w:cs="Calibri"/>
                <w:color w:val="000000" w:themeColor="text1"/>
                <w:sz w:val="16"/>
                <w:szCs w:val="16"/>
                <w:lang w:eastAsia="x-none"/>
              </w:rPr>
              <w:t>s</w:t>
            </w:r>
          </w:p>
        </w:tc>
        <w:tc>
          <w:tcPr>
            <w:tcW w:w="709" w:type="dxa"/>
            <w:tcBorders>
              <w:top w:val="single" w:sz="4" w:space="0" w:color="auto"/>
              <w:left w:val="single" w:sz="4" w:space="0" w:color="auto"/>
              <w:bottom w:val="single" w:sz="4" w:space="0" w:color="auto"/>
              <w:right w:val="single" w:sz="4" w:space="0" w:color="auto"/>
            </w:tcBorders>
            <w:hideMark/>
          </w:tcPr>
          <w:p w14:paraId="749683B3"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Spalis</w:t>
            </w:r>
          </w:p>
        </w:tc>
        <w:tc>
          <w:tcPr>
            <w:tcW w:w="851" w:type="dxa"/>
            <w:tcBorders>
              <w:top w:val="single" w:sz="4" w:space="0" w:color="auto"/>
              <w:left w:val="single" w:sz="4" w:space="0" w:color="auto"/>
              <w:bottom w:val="single" w:sz="4" w:space="0" w:color="auto"/>
              <w:right w:val="single" w:sz="4" w:space="0" w:color="auto"/>
            </w:tcBorders>
            <w:hideMark/>
          </w:tcPr>
          <w:p w14:paraId="4D475C38"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Lapkritis</w:t>
            </w:r>
          </w:p>
        </w:tc>
        <w:tc>
          <w:tcPr>
            <w:tcW w:w="850" w:type="dxa"/>
            <w:tcBorders>
              <w:top w:val="single" w:sz="4" w:space="0" w:color="auto"/>
              <w:left w:val="single" w:sz="4" w:space="0" w:color="auto"/>
              <w:bottom w:val="single" w:sz="4" w:space="0" w:color="auto"/>
              <w:right w:val="single" w:sz="4" w:space="0" w:color="auto"/>
            </w:tcBorders>
            <w:hideMark/>
          </w:tcPr>
          <w:p w14:paraId="45A9A34A" w14:textId="77777777" w:rsidR="001041AA" w:rsidRPr="00C96830" w:rsidRDefault="001041AA" w:rsidP="00EF3DF2">
            <w:pPr>
              <w:tabs>
                <w:tab w:val="left" w:pos="1080"/>
              </w:tabs>
              <w:ind w:firstLine="0"/>
              <w:jc w:val="both"/>
              <w:rPr>
                <w:rFonts w:cs="Calibri"/>
                <w:color w:val="000000" w:themeColor="text1"/>
                <w:sz w:val="16"/>
                <w:szCs w:val="16"/>
                <w:lang w:eastAsia="x-none"/>
              </w:rPr>
            </w:pPr>
            <w:r w:rsidRPr="00C96830">
              <w:rPr>
                <w:rFonts w:cs="Calibri"/>
                <w:color w:val="000000" w:themeColor="text1"/>
                <w:sz w:val="16"/>
                <w:szCs w:val="16"/>
                <w:lang w:eastAsia="x-none"/>
              </w:rPr>
              <w:t>Gruodis</w:t>
            </w:r>
          </w:p>
        </w:tc>
      </w:tr>
      <w:tr w:rsidR="001041AA" w:rsidRPr="00C96830" w14:paraId="07EEE4DA" w14:textId="77777777" w:rsidTr="00EF3DF2">
        <w:trPr>
          <w:trHeight w:val="2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72D0D7" w14:textId="77777777" w:rsidR="001041AA" w:rsidRPr="00C96830" w:rsidRDefault="001041AA" w:rsidP="00EF3DF2">
            <w:pPr>
              <w:ind w:firstLine="0"/>
              <w:jc w:val="center"/>
              <w:rPr>
                <w:color w:val="000000" w:themeColor="text1"/>
                <w:sz w:val="16"/>
                <w:szCs w:val="16"/>
              </w:rPr>
            </w:pPr>
            <w:r w:rsidRPr="00C96830">
              <w:rPr>
                <w:color w:val="000000" w:themeColor="text1"/>
                <w:sz w:val="16"/>
                <w:szCs w:val="16"/>
              </w:rPr>
              <w:t>MWh</w:t>
            </w:r>
          </w:p>
        </w:tc>
        <w:tc>
          <w:tcPr>
            <w:tcW w:w="709" w:type="dxa"/>
            <w:tcBorders>
              <w:top w:val="single" w:sz="4" w:space="0" w:color="auto"/>
              <w:left w:val="single" w:sz="4" w:space="0" w:color="auto"/>
              <w:bottom w:val="single" w:sz="4" w:space="0" w:color="auto"/>
              <w:right w:val="single" w:sz="4" w:space="0" w:color="auto"/>
            </w:tcBorders>
          </w:tcPr>
          <w:p w14:paraId="08C273DE"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69.000</w:t>
            </w:r>
          </w:p>
        </w:tc>
        <w:tc>
          <w:tcPr>
            <w:tcW w:w="846" w:type="dxa"/>
            <w:tcBorders>
              <w:top w:val="single" w:sz="4" w:space="0" w:color="auto"/>
              <w:left w:val="single" w:sz="4" w:space="0" w:color="auto"/>
              <w:bottom w:val="single" w:sz="4" w:space="0" w:color="auto"/>
              <w:right w:val="single" w:sz="4" w:space="0" w:color="auto"/>
            </w:tcBorders>
          </w:tcPr>
          <w:p w14:paraId="26E3C220"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59.000</w:t>
            </w:r>
          </w:p>
        </w:tc>
        <w:tc>
          <w:tcPr>
            <w:tcW w:w="708" w:type="dxa"/>
            <w:tcBorders>
              <w:top w:val="single" w:sz="4" w:space="0" w:color="auto"/>
              <w:left w:val="single" w:sz="4" w:space="0" w:color="auto"/>
              <w:bottom w:val="single" w:sz="4" w:space="0" w:color="auto"/>
              <w:right w:val="single" w:sz="4" w:space="0" w:color="auto"/>
            </w:tcBorders>
          </w:tcPr>
          <w:p w14:paraId="0A9AFB21"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67.000</w:t>
            </w:r>
          </w:p>
        </w:tc>
        <w:tc>
          <w:tcPr>
            <w:tcW w:w="851" w:type="dxa"/>
            <w:tcBorders>
              <w:top w:val="single" w:sz="4" w:space="0" w:color="auto"/>
              <w:left w:val="single" w:sz="4" w:space="0" w:color="auto"/>
              <w:bottom w:val="single" w:sz="4" w:space="0" w:color="auto"/>
              <w:right w:val="single" w:sz="4" w:space="0" w:color="auto"/>
            </w:tcBorders>
          </w:tcPr>
          <w:p w14:paraId="76A0C89F"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41.000</w:t>
            </w:r>
          </w:p>
        </w:tc>
        <w:tc>
          <w:tcPr>
            <w:tcW w:w="850" w:type="dxa"/>
            <w:tcBorders>
              <w:top w:val="single" w:sz="4" w:space="0" w:color="auto"/>
              <w:left w:val="single" w:sz="4" w:space="0" w:color="auto"/>
              <w:bottom w:val="single" w:sz="4" w:space="0" w:color="auto"/>
              <w:right w:val="single" w:sz="4" w:space="0" w:color="auto"/>
            </w:tcBorders>
          </w:tcPr>
          <w:p w14:paraId="113D7F57"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35.000</w:t>
            </w:r>
          </w:p>
        </w:tc>
        <w:tc>
          <w:tcPr>
            <w:tcW w:w="851" w:type="dxa"/>
            <w:tcBorders>
              <w:top w:val="single" w:sz="4" w:space="0" w:color="auto"/>
              <w:left w:val="single" w:sz="4" w:space="0" w:color="auto"/>
              <w:bottom w:val="single" w:sz="4" w:space="0" w:color="auto"/>
              <w:right w:val="single" w:sz="4" w:space="0" w:color="auto"/>
            </w:tcBorders>
          </w:tcPr>
          <w:p w14:paraId="7F4ADE94"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33.000</w:t>
            </w:r>
          </w:p>
        </w:tc>
        <w:tc>
          <w:tcPr>
            <w:tcW w:w="709" w:type="dxa"/>
            <w:tcBorders>
              <w:top w:val="single" w:sz="4" w:space="0" w:color="auto"/>
              <w:left w:val="single" w:sz="4" w:space="0" w:color="auto"/>
              <w:bottom w:val="single" w:sz="4" w:space="0" w:color="auto"/>
              <w:right w:val="single" w:sz="4" w:space="0" w:color="auto"/>
            </w:tcBorders>
          </w:tcPr>
          <w:p w14:paraId="7649D9E2"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41.000</w:t>
            </w:r>
          </w:p>
        </w:tc>
        <w:tc>
          <w:tcPr>
            <w:tcW w:w="992" w:type="dxa"/>
            <w:tcBorders>
              <w:top w:val="single" w:sz="4" w:space="0" w:color="auto"/>
              <w:left w:val="single" w:sz="4" w:space="0" w:color="auto"/>
              <w:bottom w:val="single" w:sz="4" w:space="0" w:color="auto"/>
              <w:right w:val="single" w:sz="4" w:space="0" w:color="auto"/>
            </w:tcBorders>
          </w:tcPr>
          <w:p w14:paraId="0A38B8B4"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42.000</w:t>
            </w:r>
          </w:p>
        </w:tc>
        <w:tc>
          <w:tcPr>
            <w:tcW w:w="850" w:type="dxa"/>
            <w:tcBorders>
              <w:top w:val="single" w:sz="4" w:space="0" w:color="auto"/>
              <w:left w:val="single" w:sz="4" w:space="0" w:color="auto"/>
              <w:bottom w:val="single" w:sz="4" w:space="0" w:color="auto"/>
              <w:right w:val="single" w:sz="4" w:space="0" w:color="auto"/>
            </w:tcBorders>
          </w:tcPr>
          <w:p w14:paraId="3D127FC6"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41.000</w:t>
            </w:r>
          </w:p>
        </w:tc>
        <w:tc>
          <w:tcPr>
            <w:tcW w:w="709" w:type="dxa"/>
            <w:tcBorders>
              <w:top w:val="single" w:sz="4" w:space="0" w:color="auto"/>
              <w:left w:val="single" w:sz="4" w:space="0" w:color="auto"/>
              <w:bottom w:val="single" w:sz="4" w:space="0" w:color="auto"/>
              <w:right w:val="single" w:sz="4" w:space="0" w:color="auto"/>
            </w:tcBorders>
          </w:tcPr>
          <w:p w14:paraId="09BC931E"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52.000</w:t>
            </w:r>
          </w:p>
        </w:tc>
        <w:tc>
          <w:tcPr>
            <w:tcW w:w="851" w:type="dxa"/>
            <w:tcBorders>
              <w:top w:val="single" w:sz="4" w:space="0" w:color="auto"/>
              <w:left w:val="single" w:sz="4" w:space="0" w:color="auto"/>
              <w:bottom w:val="single" w:sz="4" w:space="0" w:color="auto"/>
              <w:right w:val="single" w:sz="4" w:space="0" w:color="auto"/>
            </w:tcBorders>
          </w:tcPr>
          <w:p w14:paraId="2264A49E"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53.000</w:t>
            </w:r>
          </w:p>
        </w:tc>
        <w:tc>
          <w:tcPr>
            <w:tcW w:w="850" w:type="dxa"/>
            <w:tcBorders>
              <w:top w:val="single" w:sz="4" w:space="0" w:color="auto"/>
              <w:left w:val="single" w:sz="4" w:space="0" w:color="auto"/>
              <w:bottom w:val="single" w:sz="4" w:space="0" w:color="auto"/>
              <w:right w:val="single" w:sz="4" w:space="0" w:color="auto"/>
            </w:tcBorders>
          </w:tcPr>
          <w:p w14:paraId="0A0BF627" w14:textId="77777777" w:rsidR="001041AA" w:rsidRPr="00C96830" w:rsidRDefault="001041AA" w:rsidP="00EF3DF2">
            <w:pPr>
              <w:ind w:firstLine="0"/>
              <w:jc w:val="center"/>
              <w:rPr>
                <w:rFonts w:cs="Arial"/>
                <w:sz w:val="16"/>
                <w:szCs w:val="16"/>
                <w:highlight w:val="yellow"/>
                <w:lang w:eastAsia="x-none"/>
              </w:rPr>
            </w:pPr>
            <w:r w:rsidRPr="00C96830">
              <w:rPr>
                <w:sz w:val="16"/>
                <w:szCs w:val="16"/>
              </w:rPr>
              <w:t>67.000</w:t>
            </w:r>
          </w:p>
        </w:tc>
      </w:tr>
    </w:tbl>
    <w:p w14:paraId="72CE38E3" w14:textId="77777777" w:rsidR="001041AA" w:rsidRPr="00BA53E3" w:rsidRDefault="001041AA" w:rsidP="001041AA">
      <w:pPr>
        <w:pStyle w:val="ListParagraph"/>
        <w:spacing w:before="60" w:after="60"/>
        <w:ind w:firstLine="0"/>
        <w:jc w:val="both"/>
        <w:rPr>
          <w:rFonts w:cs="Arial"/>
          <w:i/>
          <w:sz w:val="20"/>
          <w:szCs w:val="20"/>
        </w:rPr>
      </w:pPr>
    </w:p>
    <w:p w14:paraId="6C69576B" w14:textId="77777777" w:rsidR="001041AA" w:rsidRPr="00BA53E3" w:rsidRDefault="001041AA" w:rsidP="00B0072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204BA6EC" w14:textId="77777777" w:rsidR="001041AA" w:rsidRPr="00BA53E3" w:rsidRDefault="001041AA" w:rsidP="001041AA">
      <w:pPr>
        <w:pStyle w:val="ListParagraph"/>
        <w:numPr>
          <w:ilvl w:val="0"/>
          <w:numId w:val="3"/>
        </w:numPr>
        <w:tabs>
          <w:tab w:val="left" w:pos="540"/>
        </w:tabs>
        <w:spacing w:before="60" w:after="60"/>
        <w:jc w:val="both"/>
        <w:rPr>
          <w:rFonts w:cs="Arial"/>
          <w:b/>
          <w:i/>
          <w:vanish/>
          <w:sz w:val="20"/>
          <w:szCs w:val="20"/>
        </w:rPr>
      </w:pPr>
    </w:p>
    <w:p w14:paraId="114F79BD" w14:textId="77777777" w:rsidR="001041AA" w:rsidRPr="00BA53E3" w:rsidRDefault="001041AA" w:rsidP="001041AA">
      <w:pPr>
        <w:pStyle w:val="ListParagraph"/>
        <w:numPr>
          <w:ilvl w:val="0"/>
          <w:numId w:val="3"/>
        </w:numPr>
        <w:tabs>
          <w:tab w:val="left" w:pos="540"/>
        </w:tabs>
        <w:spacing w:before="60" w:after="60"/>
        <w:jc w:val="both"/>
        <w:rPr>
          <w:rFonts w:cs="Arial"/>
          <w:b/>
          <w:i/>
          <w:vanish/>
          <w:sz w:val="20"/>
          <w:szCs w:val="20"/>
        </w:rPr>
      </w:pPr>
    </w:p>
    <w:p w14:paraId="30FDFE82" w14:textId="77777777" w:rsidR="001041AA" w:rsidRPr="00BA53E3" w:rsidRDefault="001041AA" w:rsidP="001041AA">
      <w:pPr>
        <w:pStyle w:val="ListParagraph"/>
        <w:numPr>
          <w:ilvl w:val="0"/>
          <w:numId w:val="3"/>
        </w:numPr>
        <w:tabs>
          <w:tab w:val="left" w:pos="540"/>
        </w:tabs>
        <w:spacing w:before="60" w:after="60"/>
        <w:jc w:val="both"/>
        <w:rPr>
          <w:rFonts w:cs="Arial"/>
          <w:b/>
          <w:i/>
          <w:vanish/>
          <w:sz w:val="20"/>
          <w:szCs w:val="20"/>
        </w:rPr>
      </w:pPr>
    </w:p>
    <w:p w14:paraId="1B199992" w14:textId="77777777" w:rsidR="001041AA" w:rsidRPr="00BA53E3" w:rsidRDefault="001041AA" w:rsidP="001041AA">
      <w:pPr>
        <w:pStyle w:val="ListParagraph"/>
        <w:numPr>
          <w:ilvl w:val="0"/>
          <w:numId w:val="3"/>
        </w:numPr>
        <w:tabs>
          <w:tab w:val="left" w:pos="540"/>
        </w:tabs>
        <w:spacing w:before="60" w:after="60"/>
        <w:jc w:val="both"/>
        <w:rPr>
          <w:rFonts w:cs="Arial"/>
          <w:b/>
          <w:i/>
          <w:vanish/>
          <w:sz w:val="20"/>
          <w:szCs w:val="20"/>
        </w:rPr>
      </w:pPr>
    </w:p>
    <w:p w14:paraId="40252F6F" w14:textId="77777777" w:rsidR="001041AA" w:rsidRDefault="001041AA" w:rsidP="001041AA">
      <w:pPr>
        <w:pStyle w:val="ListParagraph"/>
        <w:numPr>
          <w:ilvl w:val="1"/>
          <w:numId w:val="3"/>
        </w:numPr>
        <w:tabs>
          <w:tab w:val="left" w:pos="540"/>
        </w:tabs>
        <w:spacing w:before="60" w:after="60"/>
        <w:ind w:hanging="792"/>
        <w:jc w:val="both"/>
        <w:rPr>
          <w:rFonts w:cs="Arial"/>
          <w:sz w:val="20"/>
          <w:szCs w:val="20"/>
        </w:rPr>
      </w:pPr>
      <w:r>
        <w:rPr>
          <w:rFonts w:cs="Arial"/>
          <w:sz w:val="20"/>
          <w:szCs w:val="20"/>
        </w:rPr>
        <w:t>Elektros energijos</w:t>
      </w:r>
      <w:r w:rsidRPr="00513534">
        <w:rPr>
          <w:rFonts w:cs="Arial"/>
          <w:sz w:val="20"/>
          <w:szCs w:val="20"/>
        </w:rPr>
        <w:t xml:space="preserve"> pristatymo vieta –</w:t>
      </w:r>
      <w:r>
        <w:rPr>
          <w:rFonts w:cs="Arial"/>
          <w:sz w:val="20"/>
          <w:szCs w:val="20"/>
        </w:rPr>
        <w:t xml:space="preserve"> elektros energijos </w:t>
      </w:r>
      <w:r w:rsidRPr="00513534">
        <w:rPr>
          <w:rFonts w:cs="Arial"/>
          <w:sz w:val="20"/>
          <w:szCs w:val="20"/>
        </w:rPr>
        <w:t>perdavimo sistem</w:t>
      </w:r>
      <w:r>
        <w:rPr>
          <w:rFonts w:cs="Arial"/>
          <w:sz w:val="20"/>
          <w:szCs w:val="20"/>
        </w:rPr>
        <w:t>a</w:t>
      </w:r>
      <w:r w:rsidRPr="00513534">
        <w:rPr>
          <w:rFonts w:cs="Arial"/>
          <w:sz w:val="20"/>
          <w:szCs w:val="20"/>
        </w:rPr>
        <w:t>.</w:t>
      </w:r>
    </w:p>
    <w:p w14:paraId="6D999468" w14:textId="77777777" w:rsidR="001041AA" w:rsidRPr="003241DD" w:rsidRDefault="001041AA" w:rsidP="001041AA">
      <w:pPr>
        <w:pStyle w:val="ListParagraph"/>
        <w:tabs>
          <w:tab w:val="left" w:pos="540"/>
        </w:tabs>
        <w:spacing w:before="60" w:after="60"/>
        <w:ind w:left="0" w:firstLine="0"/>
        <w:jc w:val="both"/>
        <w:rPr>
          <w:rFonts w:cs="Arial"/>
          <w:b/>
          <w:i/>
          <w:sz w:val="20"/>
          <w:szCs w:val="20"/>
        </w:rPr>
      </w:pPr>
    </w:p>
    <w:p w14:paraId="37DF46E1" w14:textId="77777777" w:rsidR="001041AA" w:rsidRPr="00BA53E3" w:rsidRDefault="001041AA" w:rsidP="001041AA">
      <w:pPr>
        <w:pStyle w:val="ListParagraph"/>
        <w:numPr>
          <w:ilvl w:val="0"/>
          <w:numId w:val="3"/>
        </w:numPr>
        <w:pBdr>
          <w:top w:val="single" w:sz="8" w:space="1" w:color="auto"/>
          <w:bottom w:val="single" w:sz="8" w:space="1" w:color="auto"/>
        </w:pBdr>
        <w:tabs>
          <w:tab w:val="left" w:pos="284"/>
        </w:tabs>
        <w:spacing w:before="60" w:after="60"/>
        <w:contextualSpacing w:val="0"/>
        <w:rPr>
          <w:rFonts w:cs="Arial"/>
          <w:b/>
          <w:sz w:val="20"/>
          <w:szCs w:val="20"/>
        </w:rPr>
      </w:pPr>
      <w:r w:rsidRPr="00BA53E3">
        <w:rPr>
          <w:rFonts w:cs="Arial"/>
          <w:b/>
          <w:sz w:val="20"/>
          <w:szCs w:val="20"/>
        </w:rPr>
        <w:t>REIKALAVIMAI PIRKIMO OBJEKTUI</w:t>
      </w:r>
    </w:p>
    <w:p w14:paraId="0BAEEB33" w14:textId="77777777" w:rsidR="001041AA" w:rsidRPr="00BA53E3" w:rsidRDefault="001041AA" w:rsidP="001041AA">
      <w:pPr>
        <w:pStyle w:val="ListParagraph"/>
        <w:numPr>
          <w:ilvl w:val="0"/>
          <w:numId w:val="3"/>
        </w:numPr>
        <w:pBdr>
          <w:bottom w:val="single" w:sz="8" w:space="1" w:color="auto"/>
          <w:between w:val="single" w:sz="12" w:space="1" w:color="auto"/>
        </w:pBdr>
        <w:tabs>
          <w:tab w:val="left" w:pos="567"/>
        </w:tabs>
        <w:spacing w:before="60" w:after="60"/>
        <w:rPr>
          <w:rFonts w:cs="Arial"/>
          <w:b/>
          <w:vanish/>
          <w:sz w:val="20"/>
          <w:szCs w:val="20"/>
        </w:rPr>
      </w:pPr>
    </w:p>
    <w:p w14:paraId="5081C59D" w14:textId="77777777" w:rsidR="001041AA" w:rsidRPr="0020028D" w:rsidRDefault="001041AA" w:rsidP="001041AA">
      <w:pPr>
        <w:pStyle w:val="ListParagraph"/>
        <w:numPr>
          <w:ilvl w:val="1"/>
          <w:numId w:val="9"/>
        </w:numPr>
        <w:pBdr>
          <w:bottom w:val="single" w:sz="8" w:space="1" w:color="auto"/>
          <w:between w:val="single" w:sz="12" w:space="1" w:color="auto"/>
        </w:pBdr>
        <w:tabs>
          <w:tab w:val="left" w:pos="540"/>
        </w:tabs>
        <w:spacing w:before="60" w:after="60"/>
        <w:ind w:hanging="720"/>
        <w:rPr>
          <w:rFonts w:cs="Arial"/>
          <w:b/>
          <w:sz w:val="20"/>
          <w:szCs w:val="20"/>
        </w:rPr>
      </w:pPr>
      <w:r w:rsidRPr="0020028D">
        <w:rPr>
          <w:rFonts w:cs="Arial"/>
          <w:b/>
          <w:sz w:val="20"/>
          <w:szCs w:val="20"/>
        </w:rPr>
        <w:t>Esamos situacijos aprašymas</w:t>
      </w:r>
    </w:p>
    <w:p w14:paraId="1D86F9D2" w14:textId="77777777" w:rsidR="001041AA" w:rsidRPr="00CF3BAF" w:rsidRDefault="001041AA" w:rsidP="001041AA">
      <w:pPr>
        <w:pStyle w:val="ListParagraph"/>
        <w:numPr>
          <w:ilvl w:val="2"/>
          <w:numId w:val="9"/>
        </w:numPr>
        <w:tabs>
          <w:tab w:val="left" w:pos="284"/>
          <w:tab w:val="left" w:pos="426"/>
          <w:tab w:val="left" w:pos="567"/>
        </w:tabs>
        <w:ind w:left="0" w:firstLine="0"/>
        <w:jc w:val="both"/>
        <w:rPr>
          <w:rFonts w:cs="Arial"/>
          <w:sz w:val="20"/>
          <w:szCs w:val="20"/>
        </w:rPr>
      </w:pPr>
      <w:r w:rsidRPr="00CF3BAF">
        <w:rPr>
          <w:rFonts w:cs="Arial"/>
          <w:sz w:val="20"/>
          <w:szCs w:val="20"/>
        </w:rPr>
        <w:t>AB „Energijos skirstymo operatorius“ (toliau - Bendrovė) pagal šio konkurso sąlygas (toliau – Sąlygos) planuoja įsigy</w:t>
      </w:r>
      <w:r>
        <w:rPr>
          <w:rFonts w:cs="Arial"/>
          <w:sz w:val="20"/>
          <w:szCs w:val="20"/>
        </w:rPr>
        <w:t>ti 2020</w:t>
      </w:r>
      <w:r w:rsidRPr="00CF3BAF">
        <w:rPr>
          <w:rFonts w:cs="Arial"/>
          <w:sz w:val="20"/>
          <w:szCs w:val="20"/>
        </w:rPr>
        <w:t xml:space="preserve"> metams trūkstamos balansavimo elektros energijos savo ir garantinių klientų poreikiams ir organizuoja Bendrovės elektros </w:t>
      </w:r>
      <w:r w:rsidRPr="00CF3BAF">
        <w:rPr>
          <w:rFonts w:cs="Arial"/>
          <w:sz w:val="20"/>
          <w:szCs w:val="20"/>
        </w:rPr>
        <w:t>energijos balansavimo tiekėjo (toliau – BET) parinkimo konkursą.</w:t>
      </w:r>
    </w:p>
    <w:p w14:paraId="5E2AA256" w14:textId="77777777" w:rsidR="001041AA" w:rsidRPr="000D335C" w:rsidRDefault="001041AA" w:rsidP="001041AA">
      <w:pPr>
        <w:pStyle w:val="ListParagraph"/>
        <w:numPr>
          <w:ilvl w:val="2"/>
          <w:numId w:val="9"/>
        </w:numPr>
        <w:tabs>
          <w:tab w:val="left" w:pos="284"/>
          <w:tab w:val="left" w:pos="426"/>
          <w:tab w:val="left" w:pos="567"/>
        </w:tabs>
        <w:ind w:left="0" w:firstLine="0"/>
        <w:jc w:val="both"/>
        <w:rPr>
          <w:rFonts w:eastAsia="Times New Roman" w:cs="Arial"/>
          <w:color w:val="000000"/>
          <w:sz w:val="20"/>
          <w:szCs w:val="20"/>
        </w:rPr>
      </w:pPr>
      <w:r w:rsidRPr="00E01E58">
        <w:rPr>
          <w:rFonts w:eastAsia="Times New Roman" w:cs="Arial"/>
          <w:color w:val="000000"/>
          <w:sz w:val="20"/>
          <w:szCs w:val="20"/>
        </w:rPr>
        <w:t xml:space="preserve">Perkant visą </w:t>
      </w:r>
      <w:r w:rsidRPr="00E01E58">
        <w:rPr>
          <w:rFonts w:cs="Arial"/>
          <w:sz w:val="20"/>
          <w:szCs w:val="20"/>
        </w:rPr>
        <w:t xml:space="preserve">trūkstamą balansavimo elektros energiją kartu </w:t>
      </w:r>
      <w:r w:rsidRPr="00E01E58">
        <w:rPr>
          <w:rFonts w:eastAsia="Times New Roman" w:cs="Arial"/>
          <w:color w:val="000000"/>
          <w:sz w:val="20"/>
          <w:szCs w:val="20"/>
        </w:rPr>
        <w:t>bus siekiama, kad elektros energija būtų įsigyjama vadovaujantis mažiausių sąnaudų principais.</w:t>
      </w:r>
    </w:p>
    <w:p w14:paraId="24A2AE29" w14:textId="46BA109B" w:rsidR="001041AA" w:rsidRDefault="001041AA" w:rsidP="001041AA">
      <w:pPr>
        <w:numPr>
          <w:ilvl w:val="2"/>
          <w:numId w:val="9"/>
        </w:numPr>
        <w:tabs>
          <w:tab w:val="left" w:pos="0"/>
          <w:tab w:val="left" w:pos="567"/>
        </w:tabs>
        <w:ind w:left="0" w:hanging="22"/>
        <w:contextualSpacing/>
        <w:jc w:val="both"/>
        <w:rPr>
          <w:rFonts w:eastAsia="Times New Roman" w:cs="Arial"/>
          <w:sz w:val="20"/>
          <w:szCs w:val="20"/>
        </w:rPr>
      </w:pPr>
      <w:r w:rsidRPr="00E60082">
        <w:rPr>
          <w:rFonts w:eastAsia="Times New Roman" w:cs="Arial"/>
          <w:sz w:val="20"/>
          <w:szCs w:val="20"/>
        </w:rPr>
        <w:t>Tiekėjas prisiima atsakomybę pieš perdavimo sistemos operatorių už Pirkėjo elektros energijos poreikio subalansavimą, jei suderintas Ataskaitinio laikotarpio Prekių tiekimo valandinis grafikas skyrėsi nuo Pirkėjo faktinio elektros energijos kiekio poreikio.</w:t>
      </w:r>
    </w:p>
    <w:p w14:paraId="10002A79" w14:textId="77777777" w:rsidR="001041AA" w:rsidRPr="00CA2459" w:rsidRDefault="001041AA" w:rsidP="001041AA">
      <w:pPr>
        <w:pStyle w:val="ListParagraph"/>
        <w:numPr>
          <w:ilvl w:val="2"/>
          <w:numId w:val="9"/>
        </w:numPr>
        <w:tabs>
          <w:tab w:val="left" w:pos="567"/>
        </w:tabs>
        <w:ind w:left="0" w:hanging="22"/>
        <w:jc w:val="both"/>
        <w:rPr>
          <w:rFonts w:eastAsia="Calibri" w:cs="Arial"/>
          <w:sz w:val="20"/>
          <w:szCs w:val="20"/>
        </w:rPr>
      </w:pPr>
      <w:r w:rsidRPr="00CA2459">
        <w:rPr>
          <w:rFonts w:eastAsia="Times New Roman" w:cs="Arial"/>
          <w:sz w:val="20"/>
          <w:szCs w:val="20"/>
        </w:rPr>
        <w:t xml:space="preserve">Tiekėjas turi turėti galiojančią sutartį ar kitą susitarimą su  </w:t>
      </w:r>
      <w:r w:rsidRPr="00CA2459">
        <w:rPr>
          <w:rFonts w:eastAsia="Calibri" w:cs="Arial"/>
          <w:sz w:val="20"/>
          <w:szCs w:val="20"/>
        </w:rPr>
        <w:t>LITGRID AB (toliau - PSO), suteikiančią teisę Tiekėjui teikti šioje Techninėje specifikacijoje nurodytas balansavimo paslaugas ir tiekti prekes Pirkėjui kiek tai susiję su PSO. Prašoma pateikti tai įrodantį dokumentą.</w:t>
      </w:r>
    </w:p>
    <w:p w14:paraId="716A13AF" w14:textId="77777777" w:rsidR="001041AA" w:rsidRPr="00FF7E7E" w:rsidRDefault="001041AA" w:rsidP="001041AA">
      <w:pPr>
        <w:pStyle w:val="ListParagraph"/>
        <w:numPr>
          <w:ilvl w:val="2"/>
          <w:numId w:val="9"/>
        </w:numPr>
        <w:tabs>
          <w:tab w:val="left" w:pos="567"/>
        </w:tabs>
        <w:ind w:left="0" w:hanging="22"/>
        <w:jc w:val="both"/>
        <w:rPr>
          <w:rFonts w:eastAsia="Calibri" w:cs="Arial"/>
          <w:sz w:val="20"/>
          <w:szCs w:val="20"/>
        </w:rPr>
      </w:pPr>
      <w:r w:rsidRPr="00CA2459">
        <w:rPr>
          <w:rFonts w:eastAsia="Calibri" w:cs="Arial"/>
          <w:sz w:val="20"/>
          <w:szCs w:val="20"/>
        </w:rPr>
        <w:t xml:space="preserve">Tiekėjas turi užtikrinti, kad jis turi teisę dalyvauti </w:t>
      </w:r>
      <w:r w:rsidRPr="00CA2459">
        <w:rPr>
          <w:rFonts w:eastAsia="Calibri" w:cs="Times New Roman"/>
          <w:sz w:val="20"/>
          <w:szCs w:val="20"/>
        </w:rPr>
        <w:t>biržoje Nord Pool (Nord Pool AS) ir įsigyti Prekes. Prašoma pateikti tai įrodantį dokumentą.</w:t>
      </w:r>
    </w:p>
    <w:p w14:paraId="717F3917" w14:textId="126ED8E5" w:rsidR="00FF7E7E" w:rsidRDefault="00FF7E7E" w:rsidP="00FF7E7E">
      <w:pPr>
        <w:pStyle w:val="ListParagraph"/>
        <w:tabs>
          <w:tab w:val="left" w:pos="567"/>
        </w:tabs>
        <w:ind w:left="0" w:firstLine="0"/>
        <w:jc w:val="both"/>
        <w:rPr>
          <w:rFonts w:eastAsia="Calibri" w:cs="Arial"/>
          <w:sz w:val="20"/>
          <w:szCs w:val="20"/>
        </w:rPr>
      </w:pPr>
    </w:p>
    <w:p w14:paraId="2EBC8CB5" w14:textId="77777777" w:rsidR="00FF7E7E" w:rsidRDefault="00FF7E7E" w:rsidP="00FF7E7E">
      <w:pPr>
        <w:pStyle w:val="ListParagraph"/>
        <w:tabs>
          <w:tab w:val="left" w:pos="567"/>
        </w:tabs>
        <w:ind w:left="0" w:firstLine="0"/>
        <w:jc w:val="both"/>
        <w:rPr>
          <w:rFonts w:eastAsia="Calibri" w:cs="Arial"/>
          <w:sz w:val="20"/>
          <w:szCs w:val="20"/>
        </w:rPr>
      </w:pPr>
    </w:p>
    <w:p w14:paraId="45BA6AE3" w14:textId="77777777" w:rsidR="00FF7E7E" w:rsidRPr="00CA2459" w:rsidRDefault="00FF7E7E" w:rsidP="00FF7E7E">
      <w:pPr>
        <w:pStyle w:val="ListParagraph"/>
        <w:tabs>
          <w:tab w:val="left" w:pos="567"/>
        </w:tabs>
        <w:ind w:left="0" w:firstLine="0"/>
        <w:jc w:val="both"/>
        <w:rPr>
          <w:rFonts w:eastAsia="Calibri" w:cs="Arial"/>
          <w:sz w:val="20"/>
          <w:szCs w:val="20"/>
        </w:rPr>
      </w:pPr>
      <w:bookmarkStart w:id="0" w:name="_GoBack"/>
      <w:bookmarkEnd w:id="0"/>
    </w:p>
    <w:p w14:paraId="0D821577" w14:textId="77777777" w:rsidR="001041AA" w:rsidRPr="00BA53E3" w:rsidRDefault="001041AA" w:rsidP="001041AA">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527E377E" w14:textId="77777777" w:rsidR="001041AA" w:rsidRPr="00BA53E3" w:rsidRDefault="001041AA" w:rsidP="001041AA">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4F23BEA1" w14:textId="77777777" w:rsidR="001041AA" w:rsidRPr="00BA53E3" w:rsidRDefault="001041AA" w:rsidP="001041AA">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295508DF" w14:textId="77777777" w:rsidR="001041AA" w:rsidRPr="00BA53E3" w:rsidRDefault="001041AA" w:rsidP="001041AA">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3E421972" w14:textId="77777777" w:rsidR="001041AA" w:rsidRPr="00BA53E3" w:rsidRDefault="001041AA" w:rsidP="001041AA">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08D6FA5E" w14:textId="77777777" w:rsidR="001041AA" w:rsidRPr="00BA53E3" w:rsidRDefault="001041AA" w:rsidP="001041AA">
      <w:pPr>
        <w:pStyle w:val="ListParagraph"/>
        <w:numPr>
          <w:ilvl w:val="1"/>
          <w:numId w:val="5"/>
        </w:numPr>
        <w:pBdr>
          <w:bottom w:val="single" w:sz="8" w:space="1" w:color="auto"/>
          <w:between w:val="single" w:sz="12" w:space="1" w:color="auto"/>
        </w:pBdr>
        <w:tabs>
          <w:tab w:val="left" w:pos="567"/>
        </w:tabs>
        <w:spacing w:before="60" w:after="60"/>
        <w:rPr>
          <w:rFonts w:cs="Arial"/>
          <w:b/>
          <w:vanish/>
          <w:sz w:val="20"/>
          <w:szCs w:val="20"/>
        </w:rPr>
      </w:pPr>
    </w:p>
    <w:p w14:paraId="3A4F945B" w14:textId="77777777" w:rsidR="001041AA" w:rsidRPr="00BA53E3" w:rsidRDefault="001041AA" w:rsidP="001041AA">
      <w:pPr>
        <w:pStyle w:val="ListParagraph"/>
        <w:numPr>
          <w:ilvl w:val="1"/>
          <w:numId w:val="5"/>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Pirkimo objekto aprašymas</w:t>
      </w:r>
    </w:p>
    <w:p w14:paraId="19FB4758" w14:textId="77777777" w:rsidR="001041AA" w:rsidRPr="00BA53E3" w:rsidRDefault="001041AA" w:rsidP="001041AA">
      <w:pPr>
        <w:pStyle w:val="ListParagraph"/>
        <w:numPr>
          <w:ilvl w:val="1"/>
          <w:numId w:val="9"/>
        </w:numPr>
        <w:spacing w:before="60" w:after="60"/>
        <w:jc w:val="both"/>
        <w:rPr>
          <w:rFonts w:cs="Arial"/>
          <w:vanish/>
          <w:sz w:val="20"/>
          <w:szCs w:val="20"/>
        </w:rPr>
      </w:pPr>
    </w:p>
    <w:p w14:paraId="57ECBE1A" w14:textId="77777777" w:rsidR="001041AA" w:rsidRPr="00BA53E3" w:rsidRDefault="001041AA" w:rsidP="001041AA">
      <w:pPr>
        <w:pStyle w:val="ListParagraph"/>
        <w:numPr>
          <w:ilvl w:val="1"/>
          <w:numId w:val="9"/>
        </w:numPr>
        <w:spacing w:before="60" w:after="60"/>
        <w:jc w:val="both"/>
        <w:rPr>
          <w:rFonts w:cs="Arial"/>
          <w:vanish/>
          <w:sz w:val="20"/>
          <w:szCs w:val="20"/>
        </w:rPr>
      </w:pPr>
    </w:p>
    <w:p w14:paraId="3045E20F" w14:textId="77777777" w:rsidR="001041AA" w:rsidRPr="00E01E58" w:rsidRDefault="001041AA" w:rsidP="001041AA">
      <w:pPr>
        <w:pStyle w:val="ListParagraph"/>
        <w:spacing w:before="60" w:after="60"/>
        <w:ind w:left="0" w:firstLine="0"/>
        <w:jc w:val="both"/>
        <w:rPr>
          <w:b/>
          <w:sz w:val="20"/>
          <w:szCs w:val="20"/>
        </w:rPr>
      </w:pPr>
      <w:r w:rsidRPr="00E01E58">
        <w:rPr>
          <w:b/>
          <w:sz w:val="20"/>
          <w:szCs w:val="20"/>
        </w:rPr>
        <w:t>BET atliekamos funkcijos.</w:t>
      </w:r>
    </w:p>
    <w:p w14:paraId="03FE2189" w14:textId="77777777" w:rsidR="001041AA" w:rsidRPr="00D51F20" w:rsidRDefault="001041AA" w:rsidP="001041AA">
      <w:pPr>
        <w:pStyle w:val="ListParagraph"/>
        <w:tabs>
          <w:tab w:val="left" w:pos="709"/>
        </w:tabs>
        <w:spacing w:before="60" w:after="60"/>
        <w:ind w:left="0" w:firstLine="0"/>
        <w:jc w:val="both"/>
        <w:rPr>
          <w:sz w:val="20"/>
          <w:szCs w:val="20"/>
        </w:rPr>
      </w:pPr>
      <w:r>
        <w:rPr>
          <w:sz w:val="20"/>
          <w:szCs w:val="20"/>
        </w:rPr>
        <w:t xml:space="preserve">5.2.1. </w:t>
      </w:r>
      <w:r>
        <w:rPr>
          <w:sz w:val="20"/>
          <w:szCs w:val="20"/>
        </w:rPr>
        <w:tab/>
      </w:r>
      <w:r w:rsidRPr="00D51F20">
        <w:rPr>
          <w:sz w:val="20"/>
          <w:szCs w:val="20"/>
        </w:rPr>
        <w:t>Bendrovės elektros energijos poreikio prognozavimas</w:t>
      </w:r>
      <w:r>
        <w:rPr>
          <w:sz w:val="20"/>
          <w:szCs w:val="20"/>
        </w:rPr>
        <w:t>:</w:t>
      </w:r>
    </w:p>
    <w:p w14:paraId="47592E34" w14:textId="77777777" w:rsidR="001041AA" w:rsidRPr="000D335C" w:rsidRDefault="001041AA" w:rsidP="001041AA">
      <w:pPr>
        <w:pStyle w:val="ListParagraph"/>
        <w:numPr>
          <w:ilvl w:val="0"/>
          <w:numId w:val="10"/>
        </w:numPr>
        <w:spacing w:before="60" w:after="60"/>
        <w:jc w:val="both"/>
        <w:rPr>
          <w:vanish/>
        </w:rPr>
      </w:pPr>
    </w:p>
    <w:p w14:paraId="434E6BE3" w14:textId="77777777" w:rsidR="001041AA" w:rsidRPr="000D335C" w:rsidRDefault="001041AA" w:rsidP="001041AA">
      <w:pPr>
        <w:pStyle w:val="ListParagraph"/>
        <w:numPr>
          <w:ilvl w:val="0"/>
          <w:numId w:val="10"/>
        </w:numPr>
        <w:spacing w:before="60" w:after="60"/>
        <w:jc w:val="both"/>
        <w:rPr>
          <w:vanish/>
        </w:rPr>
      </w:pPr>
    </w:p>
    <w:p w14:paraId="328DCBFE" w14:textId="77777777" w:rsidR="001041AA" w:rsidRPr="000D335C" w:rsidRDefault="001041AA" w:rsidP="001041AA">
      <w:pPr>
        <w:pStyle w:val="ListParagraph"/>
        <w:numPr>
          <w:ilvl w:val="0"/>
          <w:numId w:val="10"/>
        </w:numPr>
        <w:spacing w:before="60" w:after="60"/>
        <w:jc w:val="both"/>
        <w:rPr>
          <w:vanish/>
        </w:rPr>
      </w:pPr>
    </w:p>
    <w:p w14:paraId="04D791AA" w14:textId="77777777" w:rsidR="001041AA" w:rsidRPr="000D335C" w:rsidRDefault="001041AA" w:rsidP="001041AA">
      <w:pPr>
        <w:pStyle w:val="ListParagraph"/>
        <w:numPr>
          <w:ilvl w:val="0"/>
          <w:numId w:val="10"/>
        </w:numPr>
        <w:spacing w:before="60" w:after="60"/>
        <w:jc w:val="both"/>
        <w:rPr>
          <w:vanish/>
        </w:rPr>
      </w:pPr>
    </w:p>
    <w:p w14:paraId="5CFBD7AF" w14:textId="77777777" w:rsidR="001041AA" w:rsidRPr="000D335C" w:rsidRDefault="001041AA" w:rsidP="001041AA">
      <w:pPr>
        <w:pStyle w:val="ListParagraph"/>
        <w:numPr>
          <w:ilvl w:val="0"/>
          <w:numId w:val="10"/>
        </w:numPr>
        <w:spacing w:before="60" w:after="60"/>
        <w:jc w:val="both"/>
        <w:rPr>
          <w:vanish/>
        </w:rPr>
      </w:pPr>
    </w:p>
    <w:p w14:paraId="448E45DE" w14:textId="77777777" w:rsidR="001041AA" w:rsidRPr="000D335C" w:rsidRDefault="001041AA" w:rsidP="001041AA">
      <w:pPr>
        <w:pStyle w:val="ListParagraph"/>
        <w:numPr>
          <w:ilvl w:val="1"/>
          <w:numId w:val="10"/>
        </w:numPr>
        <w:spacing w:before="60" w:after="60"/>
        <w:jc w:val="both"/>
        <w:rPr>
          <w:vanish/>
        </w:rPr>
      </w:pPr>
    </w:p>
    <w:p w14:paraId="211B21B4" w14:textId="77777777" w:rsidR="001041AA" w:rsidRPr="000D335C" w:rsidRDefault="001041AA" w:rsidP="001041AA">
      <w:pPr>
        <w:pStyle w:val="ListParagraph"/>
        <w:numPr>
          <w:ilvl w:val="1"/>
          <w:numId w:val="10"/>
        </w:numPr>
        <w:spacing w:before="60" w:after="60"/>
        <w:jc w:val="both"/>
        <w:rPr>
          <w:vanish/>
        </w:rPr>
      </w:pPr>
    </w:p>
    <w:p w14:paraId="28E8B7E1" w14:textId="77777777" w:rsidR="001041AA" w:rsidRPr="000D335C" w:rsidRDefault="001041AA" w:rsidP="001041AA">
      <w:pPr>
        <w:pStyle w:val="ListParagraph"/>
        <w:numPr>
          <w:ilvl w:val="2"/>
          <w:numId w:val="10"/>
        </w:numPr>
        <w:spacing w:before="60" w:after="60"/>
        <w:jc w:val="both"/>
        <w:rPr>
          <w:vanish/>
        </w:rPr>
      </w:pPr>
    </w:p>
    <w:p w14:paraId="02E30324" w14:textId="77777777" w:rsidR="001041AA" w:rsidRPr="000D335C" w:rsidRDefault="001041AA" w:rsidP="00A54797">
      <w:pPr>
        <w:pStyle w:val="ListParagraph"/>
        <w:numPr>
          <w:ilvl w:val="3"/>
          <w:numId w:val="10"/>
        </w:numPr>
        <w:tabs>
          <w:tab w:val="left" w:pos="851"/>
        </w:tabs>
        <w:spacing w:before="60" w:after="60"/>
        <w:ind w:left="0" w:firstLine="0"/>
        <w:jc w:val="both"/>
        <w:rPr>
          <w:sz w:val="20"/>
          <w:szCs w:val="20"/>
        </w:rPr>
      </w:pPr>
      <w:r w:rsidRPr="000D335C">
        <w:rPr>
          <w:sz w:val="20"/>
          <w:szCs w:val="20"/>
        </w:rPr>
        <w:t xml:space="preserve">BET, atsižvelgdamas į Bendrovės pateiktas sumines mėnesines elektros energijos poreikio </w:t>
      </w:r>
      <w:r w:rsidRPr="000D335C">
        <w:rPr>
          <w:sz w:val="20"/>
          <w:szCs w:val="20"/>
        </w:rPr>
        <w:t>prognozes bei prognozuojamą valandinį elektros energijos gamybos kiekių įsigijimą Bendrovės skirstomajame elektros tinkle, turės atlikti valandinį Bendrovės elektros energijos poreikio iš perdavimo tinklo prognozavimą.</w:t>
      </w:r>
    </w:p>
    <w:p w14:paraId="59FC2BBB" w14:textId="77777777" w:rsidR="001041AA" w:rsidRPr="00D51F20" w:rsidRDefault="001041AA" w:rsidP="001041AA">
      <w:pPr>
        <w:pStyle w:val="ListParagraph"/>
        <w:tabs>
          <w:tab w:val="left" w:pos="720"/>
        </w:tabs>
        <w:spacing w:before="60" w:after="60"/>
        <w:ind w:left="0" w:firstLine="0"/>
        <w:jc w:val="both"/>
        <w:rPr>
          <w:sz w:val="20"/>
          <w:szCs w:val="20"/>
        </w:rPr>
      </w:pPr>
      <w:r>
        <w:rPr>
          <w:sz w:val="20"/>
          <w:szCs w:val="20"/>
        </w:rPr>
        <w:t xml:space="preserve">5.2.2. </w:t>
      </w:r>
      <w:r w:rsidRPr="00D51F20">
        <w:rPr>
          <w:sz w:val="20"/>
          <w:szCs w:val="20"/>
        </w:rPr>
        <w:t>Valandinių elektros energijos kiekių, kuriuos Bendrovė nupirks ne iš BET, derinimas</w:t>
      </w:r>
      <w:r>
        <w:rPr>
          <w:sz w:val="20"/>
          <w:szCs w:val="20"/>
        </w:rPr>
        <w:t>:</w:t>
      </w:r>
    </w:p>
    <w:p w14:paraId="3A2692DB" w14:textId="77777777" w:rsidR="001041AA" w:rsidRPr="00D51F20" w:rsidRDefault="001041AA" w:rsidP="001041AA">
      <w:pPr>
        <w:pStyle w:val="ListParagraph"/>
        <w:tabs>
          <w:tab w:val="left" w:pos="720"/>
        </w:tabs>
        <w:spacing w:before="60" w:after="60"/>
        <w:ind w:left="0" w:firstLine="0"/>
        <w:jc w:val="both"/>
        <w:rPr>
          <w:sz w:val="20"/>
          <w:szCs w:val="20"/>
        </w:rPr>
      </w:pPr>
      <w:r>
        <w:rPr>
          <w:sz w:val="20"/>
          <w:szCs w:val="20"/>
        </w:rPr>
        <w:t xml:space="preserve">5.2.2.1. </w:t>
      </w:r>
      <w:r w:rsidRPr="00D51F20">
        <w:rPr>
          <w:sz w:val="20"/>
          <w:szCs w:val="20"/>
        </w:rPr>
        <w:t>BET, formuodamas Bendrovės elektros energijos įsigijimo portfelį, kiekvieną pirmadienį Bendrovei pateiks tos savaitės Bendrovės valandinę elektros energijos poreikio iš perdavimo tinklo prognozę bei esant poreikiui įvertins elektros energijos, Bendrovės perkamos iš kitų šaltinių, apimtis.</w:t>
      </w:r>
    </w:p>
    <w:p w14:paraId="74DCB7F1" w14:textId="77777777" w:rsidR="001041AA" w:rsidRPr="00D51F20" w:rsidRDefault="001041AA" w:rsidP="001041AA">
      <w:pPr>
        <w:pStyle w:val="ListParagraph"/>
        <w:tabs>
          <w:tab w:val="left" w:pos="720"/>
        </w:tabs>
        <w:spacing w:before="60" w:after="60"/>
        <w:ind w:left="0" w:firstLine="0"/>
        <w:jc w:val="both"/>
        <w:rPr>
          <w:sz w:val="20"/>
          <w:szCs w:val="20"/>
        </w:rPr>
      </w:pPr>
      <w:r>
        <w:rPr>
          <w:sz w:val="20"/>
          <w:szCs w:val="20"/>
        </w:rPr>
        <w:t xml:space="preserve">5.2.3. </w:t>
      </w:r>
      <w:r w:rsidRPr="00D51F20">
        <w:rPr>
          <w:sz w:val="20"/>
          <w:szCs w:val="20"/>
        </w:rPr>
        <w:t>BET, formuodamas Bendrovės elektros energijos įsigijimo portfelį, privalės ne vėliau nei vieną dieną prieš operatyvinę dieną įforminti užregistruojant Lietuvos elektros perdavimo sistemos operatoriaus LITGRID AB (toliau – PSO) informacinėje sistemoje, elektros energijos valandinius kiekius, kurie bus Bendrovės tiesiogiai įsigyti ar parduoti iš atsinaujinančių energijos išteklių gamintojų skirstomajame tinkle, pagal Bendrovės ir/ar PSO pateiktus prognozuojamus duomenis.</w:t>
      </w:r>
    </w:p>
    <w:p w14:paraId="52899754" w14:textId="77777777" w:rsidR="001041AA" w:rsidRPr="00D51F20" w:rsidRDefault="001041AA" w:rsidP="001041AA">
      <w:pPr>
        <w:pStyle w:val="ListParagraph"/>
        <w:tabs>
          <w:tab w:val="left" w:pos="720"/>
        </w:tabs>
        <w:spacing w:before="60" w:after="60"/>
        <w:ind w:left="0" w:firstLine="0"/>
        <w:jc w:val="both"/>
        <w:rPr>
          <w:sz w:val="20"/>
          <w:szCs w:val="20"/>
        </w:rPr>
      </w:pPr>
      <w:r>
        <w:rPr>
          <w:sz w:val="20"/>
          <w:szCs w:val="20"/>
        </w:rPr>
        <w:t xml:space="preserve">5.2.4. </w:t>
      </w:r>
      <w:r w:rsidRPr="00D51F20">
        <w:rPr>
          <w:sz w:val="20"/>
          <w:szCs w:val="20"/>
        </w:rPr>
        <w:t>BET, formuodamas Bendrovės elektros energijos įsigijimo portfelį, privalės ne vėliau nei vieną dieną prieš operatyvinę dieną suderinti galutinius kiekvienos paros elektros energijos gamybos/tiekimo valandinius kiekius su kitais gamintojais perdavimo tinkle, iš kurių elektros energiją Bendrovė įsigyja tiesiogiai ir juos įforminti užregistruojant PSO informacinėje sistemoje.</w:t>
      </w:r>
    </w:p>
    <w:p w14:paraId="037F583F" w14:textId="77777777" w:rsidR="001041AA" w:rsidRPr="00D51F20" w:rsidRDefault="001041AA" w:rsidP="001041AA">
      <w:pPr>
        <w:pStyle w:val="ListParagraph"/>
        <w:tabs>
          <w:tab w:val="left" w:pos="720"/>
        </w:tabs>
        <w:spacing w:before="60" w:after="60"/>
        <w:ind w:left="0" w:firstLine="0"/>
        <w:jc w:val="both"/>
        <w:rPr>
          <w:sz w:val="20"/>
          <w:szCs w:val="20"/>
        </w:rPr>
      </w:pPr>
    </w:p>
    <w:p w14:paraId="47691D7C" w14:textId="77777777" w:rsidR="001041AA" w:rsidRPr="00E01E58" w:rsidRDefault="001041AA" w:rsidP="001041AA">
      <w:pPr>
        <w:pStyle w:val="ListParagraph"/>
        <w:tabs>
          <w:tab w:val="left" w:pos="720"/>
        </w:tabs>
        <w:spacing w:before="60" w:after="60"/>
        <w:ind w:left="0" w:firstLine="0"/>
        <w:jc w:val="both"/>
        <w:rPr>
          <w:b/>
          <w:sz w:val="20"/>
          <w:szCs w:val="20"/>
        </w:rPr>
      </w:pPr>
      <w:r w:rsidRPr="00E01E58">
        <w:rPr>
          <w:b/>
          <w:sz w:val="20"/>
          <w:szCs w:val="20"/>
        </w:rPr>
        <w:t>Elektros energijos pirkimas.</w:t>
      </w:r>
    </w:p>
    <w:p w14:paraId="269D0B85" w14:textId="77777777" w:rsidR="001041AA" w:rsidRPr="00CA62A9" w:rsidRDefault="001041AA" w:rsidP="001041AA">
      <w:pPr>
        <w:pStyle w:val="ListParagraph"/>
        <w:tabs>
          <w:tab w:val="left" w:pos="720"/>
        </w:tabs>
        <w:spacing w:before="60" w:after="60"/>
        <w:ind w:left="0" w:firstLine="0"/>
        <w:jc w:val="both"/>
        <w:rPr>
          <w:sz w:val="20"/>
          <w:szCs w:val="20"/>
        </w:rPr>
      </w:pPr>
      <w:r>
        <w:rPr>
          <w:sz w:val="20"/>
          <w:szCs w:val="20"/>
        </w:rPr>
        <w:t xml:space="preserve">5.2.5. </w:t>
      </w:r>
      <w:r w:rsidRPr="00D51F20">
        <w:rPr>
          <w:sz w:val="20"/>
          <w:szCs w:val="20"/>
        </w:rPr>
        <w:t>Pagal atliktą valandinę Bendrovės elektros energijos poreikio iš perdavimo tinklo prognozę ir įvertintą Bendrovės perkamą elektros energijos kiekį iš kitų šaltinių, BET privalės nupirkti Bendrovei trūkstamą elektros energijos kiekį, pagal Prekybos elektros energija taisyklių reikalavimus:</w:t>
      </w:r>
    </w:p>
    <w:p w14:paraId="71CFAF40" w14:textId="77777777" w:rsidR="001041AA" w:rsidRPr="00B1415A" w:rsidRDefault="001041AA" w:rsidP="001041AA">
      <w:pPr>
        <w:pStyle w:val="ListParagraph"/>
        <w:numPr>
          <w:ilvl w:val="0"/>
          <w:numId w:val="11"/>
        </w:numPr>
        <w:tabs>
          <w:tab w:val="left" w:pos="720"/>
        </w:tabs>
        <w:spacing w:before="60" w:after="60"/>
        <w:jc w:val="both"/>
        <w:rPr>
          <w:vanish/>
          <w:sz w:val="20"/>
          <w:szCs w:val="20"/>
        </w:rPr>
      </w:pPr>
    </w:p>
    <w:p w14:paraId="47832475" w14:textId="77777777" w:rsidR="001041AA" w:rsidRPr="00B1415A" w:rsidRDefault="001041AA" w:rsidP="001041AA">
      <w:pPr>
        <w:pStyle w:val="ListParagraph"/>
        <w:numPr>
          <w:ilvl w:val="0"/>
          <w:numId w:val="11"/>
        </w:numPr>
        <w:tabs>
          <w:tab w:val="left" w:pos="720"/>
        </w:tabs>
        <w:spacing w:before="60" w:after="60"/>
        <w:jc w:val="both"/>
        <w:rPr>
          <w:vanish/>
          <w:sz w:val="20"/>
          <w:szCs w:val="20"/>
        </w:rPr>
      </w:pPr>
    </w:p>
    <w:p w14:paraId="0D1A803D" w14:textId="77777777" w:rsidR="001041AA" w:rsidRPr="00B1415A" w:rsidRDefault="001041AA" w:rsidP="001041AA">
      <w:pPr>
        <w:pStyle w:val="ListParagraph"/>
        <w:numPr>
          <w:ilvl w:val="0"/>
          <w:numId w:val="11"/>
        </w:numPr>
        <w:tabs>
          <w:tab w:val="left" w:pos="720"/>
        </w:tabs>
        <w:spacing w:before="60" w:after="60"/>
        <w:jc w:val="both"/>
        <w:rPr>
          <w:vanish/>
          <w:sz w:val="20"/>
          <w:szCs w:val="20"/>
        </w:rPr>
      </w:pPr>
    </w:p>
    <w:p w14:paraId="4CB64E92" w14:textId="77777777" w:rsidR="001041AA" w:rsidRPr="00B1415A" w:rsidRDefault="001041AA" w:rsidP="001041AA">
      <w:pPr>
        <w:pStyle w:val="ListParagraph"/>
        <w:numPr>
          <w:ilvl w:val="0"/>
          <w:numId w:val="11"/>
        </w:numPr>
        <w:tabs>
          <w:tab w:val="left" w:pos="720"/>
        </w:tabs>
        <w:spacing w:before="60" w:after="60"/>
        <w:jc w:val="both"/>
        <w:rPr>
          <w:vanish/>
          <w:sz w:val="20"/>
          <w:szCs w:val="20"/>
        </w:rPr>
      </w:pPr>
    </w:p>
    <w:p w14:paraId="08F1098A" w14:textId="77777777" w:rsidR="001041AA" w:rsidRPr="00B1415A" w:rsidRDefault="001041AA" w:rsidP="001041AA">
      <w:pPr>
        <w:pStyle w:val="ListParagraph"/>
        <w:numPr>
          <w:ilvl w:val="0"/>
          <w:numId w:val="11"/>
        </w:numPr>
        <w:tabs>
          <w:tab w:val="left" w:pos="720"/>
        </w:tabs>
        <w:spacing w:before="60" w:after="60"/>
        <w:jc w:val="both"/>
        <w:rPr>
          <w:vanish/>
          <w:sz w:val="20"/>
          <w:szCs w:val="20"/>
        </w:rPr>
      </w:pPr>
    </w:p>
    <w:p w14:paraId="2207A616" w14:textId="77777777" w:rsidR="001041AA" w:rsidRPr="00B1415A" w:rsidRDefault="001041AA" w:rsidP="001041AA">
      <w:pPr>
        <w:pStyle w:val="ListParagraph"/>
        <w:numPr>
          <w:ilvl w:val="1"/>
          <w:numId w:val="11"/>
        </w:numPr>
        <w:tabs>
          <w:tab w:val="left" w:pos="720"/>
        </w:tabs>
        <w:spacing w:before="60" w:after="60"/>
        <w:jc w:val="both"/>
        <w:rPr>
          <w:vanish/>
          <w:sz w:val="20"/>
          <w:szCs w:val="20"/>
        </w:rPr>
      </w:pPr>
    </w:p>
    <w:p w14:paraId="1A7B6140" w14:textId="77777777" w:rsidR="001041AA" w:rsidRPr="00B1415A" w:rsidRDefault="001041AA" w:rsidP="001041AA">
      <w:pPr>
        <w:pStyle w:val="ListParagraph"/>
        <w:numPr>
          <w:ilvl w:val="1"/>
          <w:numId w:val="11"/>
        </w:numPr>
        <w:tabs>
          <w:tab w:val="left" w:pos="720"/>
        </w:tabs>
        <w:spacing w:before="60" w:after="60"/>
        <w:jc w:val="both"/>
        <w:rPr>
          <w:vanish/>
          <w:sz w:val="20"/>
          <w:szCs w:val="20"/>
        </w:rPr>
      </w:pPr>
    </w:p>
    <w:p w14:paraId="0A4EA421" w14:textId="77777777" w:rsidR="001041AA" w:rsidRPr="00B1415A" w:rsidRDefault="001041AA" w:rsidP="001041AA">
      <w:pPr>
        <w:pStyle w:val="ListParagraph"/>
        <w:numPr>
          <w:ilvl w:val="2"/>
          <w:numId w:val="11"/>
        </w:numPr>
        <w:tabs>
          <w:tab w:val="left" w:pos="720"/>
        </w:tabs>
        <w:spacing w:before="60" w:after="60"/>
        <w:jc w:val="both"/>
        <w:rPr>
          <w:vanish/>
          <w:sz w:val="20"/>
          <w:szCs w:val="20"/>
        </w:rPr>
      </w:pPr>
    </w:p>
    <w:p w14:paraId="05FB2B3B" w14:textId="77777777" w:rsidR="001041AA" w:rsidRPr="00B1415A" w:rsidRDefault="001041AA" w:rsidP="001041AA">
      <w:pPr>
        <w:pStyle w:val="ListParagraph"/>
        <w:numPr>
          <w:ilvl w:val="2"/>
          <w:numId w:val="11"/>
        </w:numPr>
        <w:tabs>
          <w:tab w:val="left" w:pos="720"/>
        </w:tabs>
        <w:spacing w:before="60" w:after="60"/>
        <w:jc w:val="both"/>
        <w:rPr>
          <w:vanish/>
          <w:sz w:val="20"/>
          <w:szCs w:val="20"/>
        </w:rPr>
      </w:pPr>
    </w:p>
    <w:p w14:paraId="0FB6347A" w14:textId="77777777" w:rsidR="001041AA" w:rsidRPr="00B1415A" w:rsidRDefault="001041AA" w:rsidP="001041AA">
      <w:pPr>
        <w:pStyle w:val="ListParagraph"/>
        <w:numPr>
          <w:ilvl w:val="2"/>
          <w:numId w:val="11"/>
        </w:numPr>
        <w:tabs>
          <w:tab w:val="left" w:pos="720"/>
        </w:tabs>
        <w:spacing w:before="60" w:after="60"/>
        <w:jc w:val="both"/>
        <w:rPr>
          <w:vanish/>
          <w:sz w:val="20"/>
          <w:szCs w:val="20"/>
        </w:rPr>
      </w:pPr>
    </w:p>
    <w:p w14:paraId="5C07EF14" w14:textId="77777777" w:rsidR="001041AA" w:rsidRPr="00B1415A" w:rsidRDefault="001041AA" w:rsidP="001041AA">
      <w:pPr>
        <w:pStyle w:val="ListParagraph"/>
        <w:numPr>
          <w:ilvl w:val="2"/>
          <w:numId w:val="11"/>
        </w:numPr>
        <w:tabs>
          <w:tab w:val="left" w:pos="720"/>
        </w:tabs>
        <w:spacing w:before="60" w:after="60"/>
        <w:jc w:val="both"/>
        <w:rPr>
          <w:vanish/>
          <w:sz w:val="20"/>
          <w:szCs w:val="20"/>
        </w:rPr>
      </w:pPr>
    </w:p>
    <w:p w14:paraId="376BCC66" w14:textId="77777777" w:rsidR="001041AA" w:rsidRPr="00B1415A" w:rsidRDefault="001041AA" w:rsidP="001041AA">
      <w:pPr>
        <w:pStyle w:val="ListParagraph"/>
        <w:numPr>
          <w:ilvl w:val="2"/>
          <w:numId w:val="11"/>
        </w:numPr>
        <w:tabs>
          <w:tab w:val="left" w:pos="720"/>
        </w:tabs>
        <w:spacing w:before="60" w:after="60"/>
        <w:jc w:val="both"/>
        <w:rPr>
          <w:vanish/>
          <w:sz w:val="20"/>
          <w:szCs w:val="20"/>
        </w:rPr>
      </w:pPr>
    </w:p>
    <w:p w14:paraId="3D8D41BE" w14:textId="77777777" w:rsidR="001041AA" w:rsidRDefault="001041AA" w:rsidP="001041AA">
      <w:pPr>
        <w:pStyle w:val="ListParagraph"/>
        <w:numPr>
          <w:ilvl w:val="3"/>
          <w:numId w:val="11"/>
        </w:numPr>
        <w:tabs>
          <w:tab w:val="left" w:pos="720"/>
        </w:tabs>
        <w:spacing w:before="60" w:after="60"/>
        <w:ind w:left="0" w:firstLine="0"/>
        <w:jc w:val="both"/>
        <w:rPr>
          <w:sz w:val="20"/>
          <w:szCs w:val="20"/>
        </w:rPr>
      </w:pPr>
      <w:r w:rsidRPr="00D51F20">
        <w:rPr>
          <w:sz w:val="20"/>
          <w:szCs w:val="20"/>
        </w:rPr>
        <w:t xml:space="preserve">Pirkimas elektros energijos biržoje Nord Pool (Nord Pool AS). Visas Bendrovei trūkstamas elektros energijos kiekis, kuris Bendrovės nebus nupirktas iš kitų šaltinių, Bendrovės naudai BET perkamas Nord Pool elektros energijos biržoje. </w:t>
      </w:r>
    </w:p>
    <w:p w14:paraId="6F1FE3F2" w14:textId="77777777" w:rsidR="001041AA" w:rsidRDefault="001041AA" w:rsidP="001041AA">
      <w:pPr>
        <w:pStyle w:val="ListParagraph"/>
        <w:numPr>
          <w:ilvl w:val="3"/>
          <w:numId w:val="11"/>
        </w:numPr>
        <w:tabs>
          <w:tab w:val="left" w:pos="720"/>
        </w:tabs>
        <w:spacing w:before="60" w:after="60"/>
        <w:ind w:left="0" w:firstLine="0"/>
        <w:jc w:val="both"/>
        <w:rPr>
          <w:sz w:val="20"/>
          <w:szCs w:val="20"/>
        </w:rPr>
      </w:pPr>
      <w:r w:rsidRPr="00B1415A">
        <w:rPr>
          <w:sz w:val="20"/>
          <w:szCs w:val="20"/>
        </w:rPr>
        <w:t xml:space="preserve">Bendrovė apmokės BET elektros energijos įsigijimo sąnaudas pagal valandines elektros biržos kainas Nord Pool Lietuvos kainų zonoje. </w:t>
      </w:r>
    </w:p>
    <w:p w14:paraId="3578B785" w14:textId="77777777" w:rsidR="001041AA" w:rsidRPr="00B1415A" w:rsidRDefault="001041AA" w:rsidP="001041AA">
      <w:pPr>
        <w:pStyle w:val="ListParagraph"/>
        <w:numPr>
          <w:ilvl w:val="3"/>
          <w:numId w:val="11"/>
        </w:numPr>
        <w:tabs>
          <w:tab w:val="left" w:pos="720"/>
        </w:tabs>
        <w:spacing w:before="60" w:after="60"/>
        <w:ind w:left="0" w:firstLine="0"/>
        <w:jc w:val="both"/>
        <w:rPr>
          <w:sz w:val="20"/>
          <w:szCs w:val="20"/>
        </w:rPr>
      </w:pPr>
      <w:r w:rsidRPr="00B1415A">
        <w:rPr>
          <w:sz w:val="20"/>
          <w:szCs w:val="20"/>
        </w:rPr>
        <w:lastRenderedPageBreak/>
        <w:t>BET pateikiamose sąskaitose Bendrovei, privalės išskirti sąnaudas elektros energijos biržoje už nupirktą elektros energiją ir už elektros energijos biržos apyvartos mokesčius.</w:t>
      </w:r>
    </w:p>
    <w:p w14:paraId="732545DA" w14:textId="77777777" w:rsidR="001041AA" w:rsidRPr="00D51F20" w:rsidRDefault="001041AA" w:rsidP="001041AA">
      <w:pPr>
        <w:pStyle w:val="ListParagraph"/>
        <w:tabs>
          <w:tab w:val="left" w:pos="720"/>
        </w:tabs>
        <w:spacing w:before="60" w:after="60"/>
        <w:ind w:left="0" w:firstLine="0"/>
        <w:jc w:val="both"/>
        <w:rPr>
          <w:sz w:val="20"/>
          <w:szCs w:val="20"/>
        </w:rPr>
      </w:pPr>
    </w:p>
    <w:p w14:paraId="77F5A28B" w14:textId="54DDB112" w:rsidR="001041AA" w:rsidRPr="00E01E58" w:rsidRDefault="001041AA" w:rsidP="001041AA">
      <w:pPr>
        <w:pStyle w:val="ListParagraph"/>
        <w:tabs>
          <w:tab w:val="left" w:pos="720"/>
        </w:tabs>
        <w:spacing w:before="60" w:after="60"/>
        <w:ind w:left="0" w:firstLine="0"/>
        <w:jc w:val="both"/>
        <w:rPr>
          <w:b/>
          <w:sz w:val="20"/>
          <w:szCs w:val="20"/>
        </w:rPr>
      </w:pPr>
      <w:r w:rsidRPr="00E01E58">
        <w:rPr>
          <w:b/>
          <w:sz w:val="20"/>
          <w:szCs w:val="20"/>
        </w:rPr>
        <w:t>Atsakomybės už elektros energijos balansavimą prisiėmimas prieš perdavimo sistemos operatorių (t.</w:t>
      </w:r>
      <w:r w:rsidR="00565A17">
        <w:rPr>
          <w:b/>
          <w:sz w:val="20"/>
          <w:szCs w:val="20"/>
        </w:rPr>
        <w:t xml:space="preserve"> </w:t>
      </w:r>
      <w:r w:rsidRPr="00E01E58">
        <w:rPr>
          <w:b/>
          <w:sz w:val="20"/>
          <w:szCs w:val="20"/>
        </w:rPr>
        <w:t>y. elektros energijos balansavimo paslauga).</w:t>
      </w:r>
    </w:p>
    <w:p w14:paraId="2569B37F" w14:textId="77777777" w:rsidR="001041AA" w:rsidRDefault="001041AA" w:rsidP="001041AA">
      <w:pPr>
        <w:pStyle w:val="ListParagraph"/>
        <w:tabs>
          <w:tab w:val="left" w:pos="720"/>
        </w:tabs>
        <w:spacing w:before="60" w:after="60"/>
        <w:ind w:left="0" w:firstLine="0"/>
        <w:jc w:val="both"/>
        <w:rPr>
          <w:sz w:val="20"/>
          <w:szCs w:val="20"/>
        </w:rPr>
      </w:pPr>
      <w:r>
        <w:rPr>
          <w:sz w:val="20"/>
          <w:szCs w:val="20"/>
        </w:rPr>
        <w:t xml:space="preserve">5.2.6. </w:t>
      </w:r>
      <w:r w:rsidRPr="00D51F20">
        <w:rPr>
          <w:sz w:val="20"/>
          <w:szCs w:val="20"/>
        </w:rPr>
        <w:t xml:space="preserve">BET bus atsakingas už Bendrovės iš perdavimo sistemos tinklo įsigytos elektros energijos balansavimą prieš perdavimo sistemos operatorių. </w:t>
      </w:r>
    </w:p>
    <w:p w14:paraId="6317D27F" w14:textId="77777777" w:rsidR="001041AA" w:rsidRPr="00D51F20" w:rsidRDefault="001041AA" w:rsidP="001041AA">
      <w:pPr>
        <w:pStyle w:val="ListParagraph"/>
        <w:tabs>
          <w:tab w:val="left" w:pos="720"/>
        </w:tabs>
        <w:spacing w:before="60" w:after="60"/>
        <w:ind w:left="0" w:firstLine="0"/>
        <w:jc w:val="both"/>
        <w:rPr>
          <w:sz w:val="20"/>
          <w:szCs w:val="20"/>
        </w:rPr>
      </w:pPr>
      <w:r>
        <w:rPr>
          <w:sz w:val="20"/>
          <w:szCs w:val="20"/>
        </w:rPr>
        <w:t xml:space="preserve">5.2.7. </w:t>
      </w:r>
      <w:r w:rsidRPr="00D51F20">
        <w:rPr>
          <w:sz w:val="20"/>
          <w:szCs w:val="20"/>
        </w:rPr>
        <w:t>BET privalės garantuoti Bendrovei fiksuotą balansavimo kainą už faktiškai Bendrovės suvartotą elektros energijos kiekį (MWh) iš perdavimo sistemos tinklo, nepriklausomai nuo faktiškai BET patirtų elektros energijos balansavimo sąnaudų prieš perdavimo sistemos operatorių.</w:t>
      </w:r>
    </w:p>
    <w:p w14:paraId="449CF3F7" w14:textId="77777777" w:rsidR="001041AA" w:rsidRPr="00CF3BAF" w:rsidRDefault="001041AA" w:rsidP="001041AA">
      <w:pPr>
        <w:pStyle w:val="ListParagraph"/>
        <w:tabs>
          <w:tab w:val="left" w:pos="284"/>
          <w:tab w:val="left" w:pos="426"/>
        </w:tabs>
        <w:ind w:left="0" w:firstLine="0"/>
        <w:jc w:val="both"/>
        <w:rPr>
          <w:rFonts w:cs="Arial"/>
          <w:sz w:val="20"/>
          <w:szCs w:val="20"/>
        </w:rPr>
      </w:pPr>
      <w:r>
        <w:rPr>
          <w:rFonts w:cs="Arial"/>
          <w:sz w:val="20"/>
          <w:szCs w:val="20"/>
        </w:rPr>
        <w:t xml:space="preserve">5.2.9. </w:t>
      </w:r>
      <w:r w:rsidRPr="00CF3BAF">
        <w:rPr>
          <w:rFonts w:cs="Arial"/>
          <w:sz w:val="20"/>
          <w:szCs w:val="20"/>
        </w:rPr>
        <w:t xml:space="preserve">Metinis Bendrovės elektros energijos poreikis iš elektros perdavimo tinklo </w:t>
      </w:r>
      <w:r w:rsidRPr="00355783">
        <w:rPr>
          <w:rFonts w:cs="Arial"/>
          <w:sz w:val="20"/>
          <w:szCs w:val="20"/>
        </w:rPr>
        <w:t>1</w:t>
      </w:r>
      <w:r>
        <w:rPr>
          <w:rFonts w:cs="Arial"/>
          <w:sz w:val="20"/>
          <w:szCs w:val="20"/>
        </w:rPr>
        <w:t>.</w:t>
      </w:r>
      <w:r w:rsidRPr="00355783">
        <w:rPr>
          <w:rFonts w:cs="Arial"/>
          <w:sz w:val="20"/>
          <w:szCs w:val="20"/>
        </w:rPr>
        <w:t>200</w:t>
      </w:r>
      <w:r w:rsidRPr="00CF3BAF">
        <w:rPr>
          <w:rFonts w:cs="Arial"/>
          <w:sz w:val="20"/>
          <w:szCs w:val="20"/>
        </w:rPr>
        <w:t xml:space="preserve"> GWh +/- </w:t>
      </w:r>
      <w:r w:rsidRPr="00CF3BAF">
        <w:rPr>
          <w:rFonts w:cs="Arial"/>
          <w:sz w:val="20"/>
          <w:szCs w:val="20"/>
          <w:lang w:val="en-US"/>
        </w:rPr>
        <w:t>2</w:t>
      </w:r>
      <w:r w:rsidRPr="00CF3BAF">
        <w:rPr>
          <w:rFonts w:cs="Arial"/>
          <w:sz w:val="20"/>
          <w:szCs w:val="20"/>
        </w:rPr>
        <w:t>0%.</w:t>
      </w:r>
    </w:p>
    <w:p w14:paraId="54481BA7" w14:textId="77777777" w:rsidR="001041AA" w:rsidRPr="008F6906" w:rsidRDefault="001041AA" w:rsidP="001041AA">
      <w:pPr>
        <w:pStyle w:val="ListParagraph"/>
        <w:tabs>
          <w:tab w:val="left" w:pos="284"/>
          <w:tab w:val="left" w:pos="426"/>
        </w:tabs>
        <w:ind w:left="0" w:firstLine="0"/>
        <w:jc w:val="both"/>
        <w:rPr>
          <w:rFonts w:cs="Arial"/>
          <w:sz w:val="20"/>
          <w:szCs w:val="20"/>
        </w:rPr>
      </w:pPr>
      <w:r>
        <w:rPr>
          <w:rFonts w:cs="Arial"/>
          <w:sz w:val="20"/>
          <w:szCs w:val="20"/>
        </w:rPr>
        <w:t xml:space="preserve">5.2.10. </w:t>
      </w:r>
      <w:r w:rsidRPr="00CF3BAF">
        <w:rPr>
          <w:rFonts w:cs="Arial"/>
          <w:sz w:val="20"/>
          <w:szCs w:val="20"/>
        </w:rPr>
        <w:t xml:space="preserve">Metinis elektros energijos kiekis iš perdavimo tinklo, kuris Bendrovės bus nupirktas ne iš BET, o iš kitų šaltinių perdavimo </w:t>
      </w:r>
      <w:r w:rsidRPr="008F6906">
        <w:rPr>
          <w:rFonts w:cs="Arial"/>
          <w:sz w:val="20"/>
          <w:szCs w:val="20"/>
        </w:rPr>
        <w:t>tinkle 600 GWh +/- 20%.</w:t>
      </w:r>
    </w:p>
    <w:p w14:paraId="6D59B619" w14:textId="77777777" w:rsidR="001041AA" w:rsidRDefault="001041AA" w:rsidP="001041AA">
      <w:pPr>
        <w:pStyle w:val="ListParagraph"/>
        <w:tabs>
          <w:tab w:val="left" w:pos="284"/>
          <w:tab w:val="left" w:pos="426"/>
        </w:tabs>
        <w:ind w:left="0" w:firstLine="0"/>
        <w:jc w:val="both"/>
        <w:rPr>
          <w:rFonts w:cs="Arial"/>
          <w:sz w:val="20"/>
          <w:szCs w:val="20"/>
        </w:rPr>
      </w:pPr>
      <w:r>
        <w:rPr>
          <w:rFonts w:cs="Arial"/>
          <w:sz w:val="20"/>
          <w:szCs w:val="20"/>
        </w:rPr>
        <w:t xml:space="preserve">5.2.11. </w:t>
      </w:r>
      <w:r w:rsidRPr="008F6906">
        <w:rPr>
          <w:rFonts w:cs="Arial"/>
          <w:sz w:val="20"/>
          <w:szCs w:val="20"/>
        </w:rPr>
        <w:t xml:space="preserve">Metinis elektros energijos kiekis iš perdavimo tinklo, kuris Bendrovei turės būti BET nupirktas elektros biržoje </w:t>
      </w:r>
      <w:r>
        <w:rPr>
          <w:rFonts w:cs="Arial"/>
          <w:sz w:val="20"/>
          <w:szCs w:val="20"/>
        </w:rPr>
        <w:t xml:space="preserve">300 – 720 GWh </w:t>
      </w:r>
      <w:r w:rsidRPr="00CF3BAF">
        <w:rPr>
          <w:rFonts w:cs="Arial"/>
          <w:sz w:val="20"/>
          <w:szCs w:val="20"/>
        </w:rPr>
        <w:t>.</w:t>
      </w:r>
    </w:p>
    <w:p w14:paraId="4C04BA79" w14:textId="77777777" w:rsidR="009B0E2C" w:rsidRDefault="00A54797" w:rsidP="009B0E2C">
      <w:pPr>
        <w:pStyle w:val="ListParagraph"/>
        <w:tabs>
          <w:tab w:val="left" w:pos="284"/>
          <w:tab w:val="left" w:pos="426"/>
        </w:tabs>
        <w:ind w:left="0" w:firstLine="0"/>
        <w:jc w:val="both"/>
        <w:rPr>
          <w:rFonts w:cs="Arial"/>
          <w:sz w:val="20"/>
          <w:szCs w:val="20"/>
        </w:rPr>
      </w:pPr>
      <w:r>
        <w:rPr>
          <w:rFonts w:cs="Arial"/>
          <w:sz w:val="20"/>
          <w:szCs w:val="20"/>
        </w:rPr>
        <w:t xml:space="preserve">5.2.12. </w:t>
      </w:r>
      <w:r w:rsidR="009B0E2C">
        <w:rPr>
          <w:rFonts w:cs="Arial"/>
          <w:sz w:val="20"/>
          <w:szCs w:val="20"/>
        </w:rPr>
        <w:t xml:space="preserve">Tiekėjas turi turėti teisę dalyvauti </w:t>
      </w:r>
      <w:r w:rsidR="009B0E2C" w:rsidRPr="009B0E2C">
        <w:rPr>
          <w:rFonts w:cs="Arial"/>
          <w:sz w:val="20"/>
          <w:szCs w:val="20"/>
        </w:rPr>
        <w:t>elektros energijos biržo</w:t>
      </w:r>
      <w:r w:rsidR="009B0E2C">
        <w:rPr>
          <w:rFonts w:cs="Arial"/>
          <w:sz w:val="20"/>
          <w:szCs w:val="20"/>
        </w:rPr>
        <w:t xml:space="preserve">je </w:t>
      </w:r>
      <w:r w:rsidR="009B0E2C" w:rsidRPr="009B0E2C">
        <w:rPr>
          <w:rFonts w:cs="Arial"/>
          <w:sz w:val="20"/>
          <w:szCs w:val="20"/>
        </w:rPr>
        <w:t>Nord Pool</w:t>
      </w:r>
      <w:r w:rsidR="009B0E2C">
        <w:rPr>
          <w:rFonts w:cs="Arial"/>
          <w:sz w:val="20"/>
          <w:szCs w:val="20"/>
        </w:rPr>
        <w:t xml:space="preserve"> ir įsigyti Prekes.</w:t>
      </w:r>
    </w:p>
    <w:p w14:paraId="6C728AB9" w14:textId="77777777" w:rsidR="009B0E2C" w:rsidRPr="009B0E2C" w:rsidRDefault="009B0E2C" w:rsidP="009B0E2C">
      <w:pPr>
        <w:pStyle w:val="ListParagraph"/>
        <w:tabs>
          <w:tab w:val="left" w:pos="284"/>
          <w:tab w:val="left" w:pos="426"/>
        </w:tabs>
        <w:ind w:left="0" w:firstLine="0"/>
        <w:jc w:val="both"/>
        <w:rPr>
          <w:rFonts w:cs="Arial"/>
          <w:sz w:val="20"/>
          <w:szCs w:val="20"/>
        </w:rPr>
      </w:pPr>
      <w:r>
        <w:rPr>
          <w:rFonts w:cs="Arial"/>
          <w:sz w:val="20"/>
          <w:szCs w:val="20"/>
        </w:rPr>
        <w:t xml:space="preserve">5.2.13. Tiekėjas turi turėti teisę teikti </w:t>
      </w:r>
      <w:r w:rsidRPr="009B0E2C">
        <w:rPr>
          <w:rFonts w:cs="Arial"/>
          <w:sz w:val="20"/>
          <w:szCs w:val="20"/>
        </w:rPr>
        <w:t xml:space="preserve">elektros energijos pardavimo ir/ar balansavimo </w:t>
      </w:r>
      <w:r>
        <w:rPr>
          <w:rFonts w:cs="Arial"/>
          <w:sz w:val="20"/>
          <w:szCs w:val="20"/>
        </w:rPr>
        <w:t>paslaugas</w:t>
      </w:r>
      <w:r w:rsidRPr="009B0E2C">
        <w:rPr>
          <w:rFonts w:cs="Arial"/>
          <w:sz w:val="20"/>
          <w:szCs w:val="20"/>
        </w:rPr>
        <w:t xml:space="preserve"> Lietuvoje</w:t>
      </w:r>
      <w:r>
        <w:rPr>
          <w:rFonts w:cs="Arial"/>
          <w:sz w:val="20"/>
          <w:szCs w:val="20"/>
        </w:rPr>
        <w:t xml:space="preserve"> </w:t>
      </w:r>
      <w:r w:rsidRPr="009B0E2C">
        <w:rPr>
          <w:rFonts w:cs="Arial"/>
          <w:sz w:val="20"/>
          <w:szCs w:val="20"/>
        </w:rPr>
        <w:t>tretiesiems asmenims.</w:t>
      </w:r>
    </w:p>
    <w:p w14:paraId="0140C216" w14:textId="77777777" w:rsidR="00A54797" w:rsidRDefault="00A54797" w:rsidP="001041AA">
      <w:pPr>
        <w:spacing w:before="60" w:after="60"/>
        <w:ind w:firstLine="0"/>
        <w:jc w:val="both"/>
        <w:rPr>
          <w:rFonts w:cs="Arial"/>
          <w:sz w:val="20"/>
          <w:szCs w:val="20"/>
          <w:shd w:val="clear" w:color="auto" w:fill="D9D9D9" w:themeFill="background1" w:themeFillShade="D9"/>
        </w:rPr>
      </w:pPr>
    </w:p>
    <w:p w14:paraId="6FF26DA4" w14:textId="3EE788A3" w:rsidR="00587035" w:rsidRDefault="00587035" w:rsidP="00587035">
      <w:pPr>
        <w:pStyle w:val="ListParagraph"/>
        <w:numPr>
          <w:ilvl w:val="1"/>
          <w:numId w:val="11"/>
        </w:numPr>
        <w:spacing w:before="60" w:after="60"/>
        <w:ind w:left="426" w:hanging="426"/>
        <w:jc w:val="both"/>
        <w:rPr>
          <w:rFonts w:cs="Arial"/>
          <w:sz w:val="20"/>
          <w:szCs w:val="20"/>
        </w:rPr>
      </w:pPr>
      <w:r>
        <w:rPr>
          <w:rFonts w:cs="Arial"/>
          <w:sz w:val="20"/>
          <w:szCs w:val="20"/>
        </w:rPr>
        <w:t>Tiekėjo siūlomos P</w:t>
      </w:r>
      <w:r w:rsidRPr="00587035">
        <w:rPr>
          <w:rFonts w:cs="Arial"/>
          <w:sz w:val="20"/>
          <w:szCs w:val="20"/>
        </w:rPr>
        <w:t>rekės</w:t>
      </w:r>
      <w:r>
        <w:rPr>
          <w:rFonts w:cs="Arial"/>
          <w:sz w:val="20"/>
          <w:szCs w:val="20"/>
        </w:rPr>
        <w:t xml:space="preserve"> ir (ar)</w:t>
      </w:r>
      <w:r w:rsidRPr="00587035">
        <w:rPr>
          <w:rFonts w:cs="Arial"/>
          <w:sz w:val="20"/>
          <w:szCs w:val="20"/>
        </w:rPr>
        <w:t xml:space="preserve"> paslaugos </w:t>
      </w:r>
      <w:r>
        <w:rPr>
          <w:rFonts w:cs="Arial"/>
          <w:sz w:val="20"/>
          <w:szCs w:val="20"/>
        </w:rPr>
        <w:t>neturi kelti</w:t>
      </w:r>
      <w:r w:rsidRPr="00587035">
        <w:rPr>
          <w:rFonts w:cs="Arial"/>
          <w:sz w:val="20"/>
          <w:szCs w:val="20"/>
        </w:rPr>
        <w:t xml:space="preserve"> grėsmės nacionaliniam saugumui</w:t>
      </w:r>
      <w:r>
        <w:rPr>
          <w:rFonts w:cs="Arial"/>
          <w:sz w:val="20"/>
          <w:szCs w:val="20"/>
        </w:rPr>
        <w:t>.</w:t>
      </w:r>
    </w:p>
    <w:p w14:paraId="71EA2703" w14:textId="77777777" w:rsidR="00587209" w:rsidRPr="00587035" w:rsidRDefault="00587209" w:rsidP="00587209">
      <w:pPr>
        <w:pStyle w:val="ListParagraph"/>
        <w:spacing w:before="60" w:after="60"/>
        <w:ind w:left="426" w:firstLine="0"/>
        <w:jc w:val="both"/>
        <w:rPr>
          <w:rFonts w:cs="Arial"/>
          <w:sz w:val="20"/>
          <w:szCs w:val="20"/>
        </w:rPr>
      </w:pPr>
    </w:p>
    <w:p w14:paraId="2C62889B" w14:textId="77777777" w:rsidR="001041AA" w:rsidRPr="00BA53E3" w:rsidRDefault="001041AA" w:rsidP="001041AA">
      <w:pPr>
        <w:pStyle w:val="ListParagraph"/>
        <w:numPr>
          <w:ilvl w:val="0"/>
          <w:numId w:val="6"/>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5B1F6824" w14:textId="77777777" w:rsidR="001041AA" w:rsidRPr="00DE3107" w:rsidRDefault="001041AA" w:rsidP="001041AA">
      <w:pPr>
        <w:pStyle w:val="ListParagraph"/>
        <w:numPr>
          <w:ilvl w:val="1"/>
          <w:numId w:val="6"/>
        </w:numPr>
        <w:tabs>
          <w:tab w:val="left" w:pos="567"/>
        </w:tabs>
        <w:spacing w:before="60" w:after="60"/>
        <w:ind w:left="0" w:firstLine="0"/>
        <w:jc w:val="both"/>
        <w:rPr>
          <w:rFonts w:cs="Arial"/>
          <w:sz w:val="20"/>
          <w:szCs w:val="20"/>
        </w:rPr>
      </w:pPr>
      <w:r w:rsidRPr="00DE3107">
        <w:rPr>
          <w:rFonts w:cs="Arial"/>
          <w:sz w:val="20"/>
          <w:szCs w:val="20"/>
        </w:rPr>
        <w:t xml:space="preserve">Prekės turės būti  tiekiamos nepertraukiamai kiekvieną parą. </w:t>
      </w:r>
    </w:p>
    <w:p w14:paraId="5EEB1D82" w14:textId="77777777" w:rsidR="001041AA" w:rsidRPr="00DE3107" w:rsidRDefault="001041AA" w:rsidP="001041AA">
      <w:pPr>
        <w:pStyle w:val="ListParagraph"/>
        <w:numPr>
          <w:ilvl w:val="1"/>
          <w:numId w:val="6"/>
        </w:numPr>
        <w:tabs>
          <w:tab w:val="left" w:pos="567"/>
        </w:tabs>
        <w:spacing w:before="60" w:after="60"/>
        <w:ind w:left="0" w:firstLine="0"/>
        <w:jc w:val="both"/>
        <w:rPr>
          <w:rFonts w:cs="Arial"/>
          <w:sz w:val="20"/>
          <w:szCs w:val="20"/>
        </w:rPr>
      </w:pPr>
      <w:r w:rsidRPr="00DE3107">
        <w:rPr>
          <w:rFonts w:cs="Arial"/>
          <w:sz w:val="20"/>
          <w:szCs w:val="20"/>
        </w:rPr>
        <w:t xml:space="preserve">Prekių tiekimo laikotarpis – 12 (dvylika) mėnesių, pagal sudaromos sutarties nuostatas. </w:t>
      </w:r>
    </w:p>
    <w:p w14:paraId="7CD7E016" w14:textId="77777777" w:rsidR="001041AA" w:rsidRPr="00DE3107" w:rsidRDefault="001041AA" w:rsidP="001041AA">
      <w:pPr>
        <w:pStyle w:val="ListParagraph"/>
        <w:numPr>
          <w:ilvl w:val="1"/>
          <w:numId w:val="6"/>
        </w:numPr>
        <w:tabs>
          <w:tab w:val="left" w:pos="567"/>
        </w:tabs>
        <w:spacing w:before="60" w:after="60"/>
        <w:ind w:left="0" w:firstLine="0"/>
        <w:jc w:val="both"/>
        <w:rPr>
          <w:rFonts w:cs="Arial"/>
          <w:sz w:val="20"/>
          <w:szCs w:val="20"/>
        </w:rPr>
      </w:pPr>
      <w:r w:rsidRPr="00DE3107">
        <w:rPr>
          <w:rFonts w:cs="Arial"/>
          <w:sz w:val="20"/>
          <w:szCs w:val="20"/>
        </w:rPr>
        <w:t>BET paslaugų teikimo laikotarpis nuo 20</w:t>
      </w:r>
      <w:r>
        <w:rPr>
          <w:rFonts w:cs="Arial"/>
          <w:sz w:val="20"/>
          <w:szCs w:val="20"/>
        </w:rPr>
        <w:t>20</w:t>
      </w:r>
      <w:r w:rsidRPr="00DE3107">
        <w:rPr>
          <w:rFonts w:cs="Arial"/>
          <w:sz w:val="20"/>
          <w:szCs w:val="20"/>
        </w:rPr>
        <w:t>-01-01 (00:00 val.) iki 20</w:t>
      </w:r>
      <w:r>
        <w:rPr>
          <w:rFonts w:cs="Arial"/>
          <w:sz w:val="20"/>
          <w:szCs w:val="20"/>
        </w:rPr>
        <w:t>20</w:t>
      </w:r>
      <w:r w:rsidRPr="00DE3107">
        <w:rPr>
          <w:rFonts w:cs="Arial"/>
          <w:sz w:val="20"/>
          <w:szCs w:val="20"/>
        </w:rPr>
        <w:t>-12-31 (24:00 val.), kuris nėra skaidomas į dalis ar laikotarpius.</w:t>
      </w:r>
    </w:p>
    <w:p w14:paraId="00BCA05C" w14:textId="77777777" w:rsidR="001041AA" w:rsidRPr="00DE3107" w:rsidRDefault="001041AA" w:rsidP="001041AA">
      <w:pPr>
        <w:pStyle w:val="ListParagraph"/>
        <w:numPr>
          <w:ilvl w:val="1"/>
          <w:numId w:val="6"/>
        </w:numPr>
        <w:tabs>
          <w:tab w:val="left" w:pos="567"/>
        </w:tabs>
        <w:spacing w:before="60" w:after="60"/>
        <w:ind w:left="0" w:firstLine="0"/>
        <w:jc w:val="both"/>
        <w:rPr>
          <w:rFonts w:cs="Arial"/>
          <w:sz w:val="20"/>
          <w:szCs w:val="20"/>
        </w:rPr>
      </w:pPr>
      <w:r w:rsidRPr="00DE3107">
        <w:rPr>
          <w:rFonts w:cs="Arial"/>
          <w:sz w:val="20"/>
          <w:szCs w:val="20"/>
        </w:rPr>
        <w:lastRenderedPageBreak/>
        <w:t>Už Bendrovės naudai įvykdytą elektros energijos įsigijimą iš elektros energijos biržos, Bendrovė su BET atsiskaito kas savaitę, elektros biržos valandinėmis kainomis pagal pateiktus mokėjimo dokumentus.</w:t>
      </w:r>
    </w:p>
    <w:p w14:paraId="5F60A058" w14:textId="77777777" w:rsidR="001041AA" w:rsidRPr="00DE3107" w:rsidRDefault="001041AA" w:rsidP="001041AA">
      <w:pPr>
        <w:pStyle w:val="ListParagraph"/>
        <w:numPr>
          <w:ilvl w:val="1"/>
          <w:numId w:val="6"/>
        </w:numPr>
        <w:tabs>
          <w:tab w:val="left" w:pos="567"/>
        </w:tabs>
        <w:spacing w:before="60" w:after="60"/>
        <w:ind w:left="0" w:firstLine="0"/>
        <w:jc w:val="both"/>
        <w:rPr>
          <w:rFonts w:cs="Arial"/>
          <w:sz w:val="20"/>
          <w:szCs w:val="20"/>
        </w:rPr>
      </w:pPr>
      <w:r w:rsidRPr="00DE3107">
        <w:rPr>
          <w:rFonts w:cs="Arial"/>
          <w:sz w:val="20"/>
          <w:szCs w:val="20"/>
        </w:rPr>
        <w:t>Už visas kitas BET paslaugas Bendrovė atsiskaito vieną kartą už kalendorinį mėnesį, iki po ataskaitinio mėnesio paskutinės kalendorinės dienos.</w:t>
      </w:r>
    </w:p>
    <w:p w14:paraId="18F42F48" w14:textId="77777777" w:rsidR="001041AA" w:rsidRDefault="001041AA" w:rsidP="001041AA">
      <w:pPr>
        <w:pStyle w:val="ListParagraph"/>
        <w:tabs>
          <w:tab w:val="left" w:pos="567"/>
        </w:tabs>
        <w:spacing w:before="60" w:after="60"/>
        <w:ind w:left="1080" w:firstLine="0"/>
        <w:contextualSpacing w:val="0"/>
        <w:jc w:val="both"/>
        <w:rPr>
          <w:rStyle w:val="Laukeliai"/>
          <w:rFonts w:cs="Arial"/>
          <w:szCs w:val="20"/>
        </w:rPr>
      </w:pPr>
    </w:p>
    <w:p w14:paraId="5DEA7FB7" w14:textId="2769AD74" w:rsidR="00CB65E2" w:rsidRDefault="00CB65E2" w:rsidP="001041AA">
      <w:pPr>
        <w:pStyle w:val="ListParagraph"/>
        <w:tabs>
          <w:tab w:val="left" w:pos="567"/>
        </w:tabs>
        <w:spacing w:before="60" w:after="60"/>
        <w:ind w:left="1080" w:firstLine="0"/>
        <w:contextualSpacing w:val="0"/>
        <w:jc w:val="both"/>
        <w:rPr>
          <w:rStyle w:val="Laukeliai"/>
          <w:rFonts w:cs="Arial"/>
          <w:szCs w:val="20"/>
        </w:rPr>
      </w:pPr>
    </w:p>
    <w:p w14:paraId="2BB05997" w14:textId="77777777" w:rsidR="00CB65E2" w:rsidRPr="00BA53E3" w:rsidRDefault="00CB65E2" w:rsidP="001041AA">
      <w:pPr>
        <w:pStyle w:val="ListParagraph"/>
        <w:tabs>
          <w:tab w:val="left" w:pos="567"/>
        </w:tabs>
        <w:spacing w:before="60" w:after="60"/>
        <w:ind w:left="1080" w:firstLine="0"/>
        <w:contextualSpacing w:val="0"/>
        <w:jc w:val="both"/>
        <w:rPr>
          <w:rStyle w:val="Laukeliai"/>
          <w:rFonts w:cs="Arial"/>
          <w:szCs w:val="20"/>
        </w:rPr>
      </w:pPr>
    </w:p>
    <w:p w14:paraId="6AC69DE4" w14:textId="77777777" w:rsidR="001041AA" w:rsidRPr="00BA53E3" w:rsidRDefault="001041AA" w:rsidP="001041AA">
      <w:pPr>
        <w:pStyle w:val="ListParagraph"/>
        <w:numPr>
          <w:ilvl w:val="0"/>
          <w:numId w:val="7"/>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BA53E3">
        <w:rPr>
          <w:rStyle w:val="Laukeliai"/>
          <w:rFonts w:cs="Arial"/>
          <w:b/>
          <w:szCs w:val="20"/>
        </w:rPr>
        <w:t>KOKYBĖ IR TRŪKUMŲ ŠALINIMAS</w:t>
      </w:r>
    </w:p>
    <w:p w14:paraId="60A431A2" w14:textId="77777777" w:rsidR="001041AA" w:rsidRPr="00BA53E3" w:rsidRDefault="001041AA" w:rsidP="001041AA">
      <w:pPr>
        <w:pStyle w:val="ListParagraph"/>
        <w:numPr>
          <w:ilvl w:val="0"/>
          <w:numId w:val="9"/>
        </w:numPr>
        <w:tabs>
          <w:tab w:val="left" w:pos="567"/>
        </w:tabs>
        <w:spacing w:before="60" w:after="60"/>
        <w:contextualSpacing w:val="0"/>
        <w:jc w:val="both"/>
        <w:rPr>
          <w:rStyle w:val="Laukeliai"/>
          <w:rFonts w:cs="Arial"/>
          <w:vanish/>
          <w:szCs w:val="20"/>
        </w:rPr>
      </w:pPr>
    </w:p>
    <w:p w14:paraId="1610ECCB" w14:textId="77777777" w:rsidR="001041AA" w:rsidRPr="00BA53E3" w:rsidRDefault="001041AA" w:rsidP="001041AA">
      <w:pPr>
        <w:pStyle w:val="ListParagraph"/>
        <w:numPr>
          <w:ilvl w:val="0"/>
          <w:numId w:val="9"/>
        </w:numPr>
        <w:tabs>
          <w:tab w:val="left" w:pos="567"/>
        </w:tabs>
        <w:spacing w:before="60" w:after="60"/>
        <w:contextualSpacing w:val="0"/>
        <w:jc w:val="both"/>
        <w:rPr>
          <w:rStyle w:val="Laukeliai"/>
          <w:rFonts w:cs="Arial"/>
          <w:vanish/>
          <w:szCs w:val="20"/>
        </w:rPr>
      </w:pPr>
    </w:p>
    <w:p w14:paraId="2258F287" w14:textId="35594465" w:rsidR="001041AA" w:rsidRPr="008F6906" w:rsidRDefault="001041AA" w:rsidP="001041AA">
      <w:pPr>
        <w:pStyle w:val="ListParagraph"/>
        <w:numPr>
          <w:ilvl w:val="1"/>
          <w:numId w:val="9"/>
        </w:numPr>
        <w:tabs>
          <w:tab w:val="left" w:pos="540"/>
        </w:tabs>
        <w:spacing w:before="60" w:after="60"/>
        <w:ind w:left="0" w:firstLine="0"/>
        <w:contextualSpacing w:val="0"/>
        <w:jc w:val="both"/>
        <w:rPr>
          <w:rStyle w:val="Laukeliai"/>
          <w:rFonts w:cs="Arial"/>
          <w:szCs w:val="20"/>
        </w:rPr>
      </w:pPr>
      <w:r>
        <w:rPr>
          <w:rStyle w:val="Laukeliai"/>
          <w:rFonts w:cs="Arial"/>
          <w:szCs w:val="20"/>
        </w:rPr>
        <w:t>Tiekėjas (</w:t>
      </w:r>
      <w:r w:rsidRPr="008F6906">
        <w:rPr>
          <w:rFonts w:cs="Arial"/>
          <w:sz w:val="20"/>
          <w:szCs w:val="20"/>
        </w:rPr>
        <w:t>BET</w:t>
      </w:r>
      <w:r>
        <w:rPr>
          <w:rFonts w:cs="Arial"/>
          <w:sz w:val="20"/>
          <w:szCs w:val="20"/>
        </w:rPr>
        <w:t>)</w:t>
      </w:r>
      <w:r w:rsidRPr="008F6906">
        <w:rPr>
          <w:rFonts w:cs="Arial"/>
          <w:sz w:val="20"/>
          <w:szCs w:val="20"/>
        </w:rPr>
        <w:t>, formuodamas Bendrovės elektros energijos įsigijimo portfelį, privalės ne vėliau nei vieną dieną prieš operatyvinę dieną įforminti užregistruojant Lietuvos elektros perdavimo sistemos operatoriaus LITGRID AB (toliau – PSO) informacinėje sistemoje, elektros energijos valandinius kiekius, kurie bus Bendrovės tiesiogiai įsigyti ar parduoti iš atsinaujinančių energijos išteklių gamintojų skirstomajame tinkle, pagal Bendrovės ir/ar PSO pateiktus prognozuojamus duomenis.</w:t>
      </w:r>
      <w:r>
        <w:rPr>
          <w:rFonts w:cs="Arial"/>
          <w:sz w:val="20"/>
          <w:szCs w:val="20"/>
        </w:rPr>
        <w:t xml:space="preserve"> Nepateikus, neužregistravus ar pateikus nekorektiškus duomenis į </w:t>
      </w:r>
      <w:r w:rsidR="00565A17">
        <w:rPr>
          <w:rFonts w:cs="Arial"/>
          <w:sz w:val="20"/>
          <w:szCs w:val="20"/>
        </w:rPr>
        <w:t>LITGRID AB</w:t>
      </w:r>
      <w:r>
        <w:rPr>
          <w:rFonts w:cs="Arial"/>
          <w:sz w:val="20"/>
          <w:szCs w:val="20"/>
        </w:rPr>
        <w:t xml:space="preserve"> informacinę sistemą, Tiekėjas kompensuoja Pirkėjui už susidariusį disbalansą ir patirtas papildomas išlaidas Perdavimo sistemos operatoriaus taikomomis disbalanso kainomis. </w:t>
      </w:r>
    </w:p>
    <w:p w14:paraId="495CE329" w14:textId="3E5B7659" w:rsidR="001041AA" w:rsidRPr="00AD67B6" w:rsidRDefault="001041AA" w:rsidP="001041AA">
      <w:pPr>
        <w:pStyle w:val="ListParagraph"/>
        <w:numPr>
          <w:ilvl w:val="1"/>
          <w:numId w:val="9"/>
        </w:numPr>
        <w:tabs>
          <w:tab w:val="left" w:pos="540"/>
        </w:tabs>
        <w:spacing w:before="60" w:after="60"/>
        <w:ind w:left="0" w:firstLine="0"/>
        <w:contextualSpacing w:val="0"/>
        <w:jc w:val="both"/>
        <w:rPr>
          <w:rStyle w:val="Laukeliai"/>
          <w:rFonts w:cs="Arial"/>
          <w:szCs w:val="20"/>
        </w:rPr>
      </w:pPr>
      <w:r w:rsidRPr="008F6906">
        <w:rPr>
          <w:rStyle w:val="Laukeliai"/>
          <w:rFonts w:cs="Arial"/>
          <w:szCs w:val="20"/>
        </w:rPr>
        <w:t xml:space="preserve">Terminas, per kurį turi būti ištaisomi nustatyti trūkumai - </w:t>
      </w:r>
      <w:sdt>
        <w:sdtPr>
          <w:rPr>
            <w:rStyle w:val="Laukeliai"/>
            <w:rFonts w:cs="Arial"/>
            <w:szCs w:val="20"/>
          </w:rPr>
          <w:id w:val="697973193"/>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rStyle w:val="Laukeliai"/>
          </w:rPr>
        </w:sdtEndPr>
        <w:sdtContent>
          <w:r w:rsidRPr="008F6906">
            <w:rPr>
              <w:rStyle w:val="Laukeliai"/>
              <w:rFonts w:cs="Arial"/>
              <w:szCs w:val="20"/>
            </w:rPr>
            <w:t>1</w:t>
          </w:r>
        </w:sdtContent>
      </w:sdt>
      <w:r w:rsidRPr="008F6906">
        <w:rPr>
          <w:rFonts w:cs="Arial"/>
          <w:sz w:val="20"/>
          <w:szCs w:val="20"/>
        </w:rPr>
        <w:t xml:space="preserve"> d</w:t>
      </w:r>
      <w:r w:rsidR="00C87358">
        <w:rPr>
          <w:rFonts w:cs="Arial"/>
          <w:sz w:val="20"/>
          <w:szCs w:val="20"/>
        </w:rPr>
        <w:t>arbo diena.</w:t>
      </w:r>
      <w:r w:rsidRPr="008F6906">
        <w:rPr>
          <w:iCs/>
          <w:sz w:val="20"/>
          <w:szCs w:val="20"/>
        </w:rPr>
        <w:t xml:space="preserve"> </w:t>
      </w:r>
    </w:p>
    <w:p w14:paraId="0B8365A1" w14:textId="77777777" w:rsidR="001041AA" w:rsidRPr="00BA53E3" w:rsidRDefault="001041AA" w:rsidP="001041AA">
      <w:pPr>
        <w:pStyle w:val="ListParagraph"/>
        <w:tabs>
          <w:tab w:val="left" w:pos="567"/>
        </w:tabs>
        <w:spacing w:before="60" w:after="60"/>
        <w:ind w:left="0" w:firstLine="0"/>
        <w:contextualSpacing w:val="0"/>
        <w:jc w:val="both"/>
        <w:rPr>
          <w:rStyle w:val="Laukeliai"/>
          <w:rFonts w:cs="Arial"/>
          <w:szCs w:val="20"/>
        </w:rPr>
      </w:pPr>
    </w:p>
    <w:p w14:paraId="4ADE7AC6" w14:textId="77777777" w:rsidR="001041AA" w:rsidRPr="00BA53E3" w:rsidRDefault="001041AA" w:rsidP="001041AA">
      <w:pPr>
        <w:pStyle w:val="ListParagraph"/>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BA53E3">
        <w:rPr>
          <w:rStyle w:val="Laukeliai"/>
          <w:rFonts w:cs="Arial"/>
          <w:b/>
          <w:szCs w:val="20"/>
        </w:rPr>
        <w:t>KARTU SU PRISTATOMOMIS PREKĖMIS PATEIKIAMI DOKUMENTAI</w:t>
      </w:r>
    </w:p>
    <w:p w14:paraId="5418DAFD" w14:textId="77777777" w:rsidR="001041AA" w:rsidRPr="00BA53E3" w:rsidRDefault="001041AA" w:rsidP="001041AA">
      <w:pPr>
        <w:pStyle w:val="ListParagraph"/>
        <w:numPr>
          <w:ilvl w:val="0"/>
          <w:numId w:val="9"/>
        </w:numPr>
        <w:tabs>
          <w:tab w:val="left" w:pos="567"/>
        </w:tabs>
        <w:spacing w:before="60" w:after="60"/>
        <w:contextualSpacing w:val="0"/>
        <w:jc w:val="both"/>
        <w:rPr>
          <w:rStyle w:val="Laukeliai"/>
          <w:rFonts w:cs="Arial"/>
          <w:vanish/>
          <w:color w:val="FF0000"/>
          <w:szCs w:val="20"/>
        </w:rPr>
      </w:pPr>
    </w:p>
    <w:p w14:paraId="58960CAD" w14:textId="77777777" w:rsidR="001041AA" w:rsidRPr="00266ABE" w:rsidRDefault="001041AA" w:rsidP="001041AA">
      <w:pPr>
        <w:pStyle w:val="ListParagraph"/>
        <w:numPr>
          <w:ilvl w:val="1"/>
          <w:numId w:val="9"/>
        </w:numPr>
        <w:tabs>
          <w:tab w:val="left" w:pos="426"/>
        </w:tabs>
        <w:spacing w:before="60" w:after="60"/>
        <w:ind w:left="0" w:firstLine="0"/>
        <w:contextualSpacing w:val="0"/>
        <w:jc w:val="both"/>
        <w:rPr>
          <w:rFonts w:cs="Arial"/>
          <w:sz w:val="20"/>
          <w:szCs w:val="20"/>
        </w:rPr>
      </w:pPr>
      <w:r w:rsidRPr="008F6906">
        <w:rPr>
          <w:rStyle w:val="Laukeliai"/>
          <w:rFonts w:cs="Arial"/>
          <w:szCs w:val="20"/>
        </w:rPr>
        <w:t>Tiekėjas Sąskaitoje nurodo per Ataskaitinį laikotarpį patiektą Prekių kiekį, išreikštą energijos vienetais, vadovaujantis pažymos duomenimis, kurią pasibaigus ataskaitiniam laikotarpiui</w:t>
      </w:r>
      <w:r>
        <w:rPr>
          <w:rStyle w:val="Laukeliai"/>
          <w:rFonts w:cs="Arial"/>
          <w:szCs w:val="20"/>
        </w:rPr>
        <w:t xml:space="preserve"> </w:t>
      </w:r>
      <w:r w:rsidRPr="008F6906">
        <w:rPr>
          <w:rStyle w:val="Laukeliai"/>
          <w:rFonts w:cs="Arial"/>
          <w:szCs w:val="20"/>
        </w:rPr>
        <w:t>Tiekėjui pateikia Pirkėjas</w:t>
      </w:r>
      <w:r>
        <w:rPr>
          <w:rStyle w:val="Laukeliai"/>
          <w:rFonts w:cs="Arial"/>
          <w:szCs w:val="20"/>
        </w:rPr>
        <w:t xml:space="preserve">. </w:t>
      </w:r>
      <w:r w:rsidRPr="00266ABE">
        <w:rPr>
          <w:rFonts w:eastAsia="Calibri" w:cs="Arial"/>
          <w:sz w:val="20"/>
          <w:szCs w:val="20"/>
        </w:rPr>
        <w:t>Perdavimo – priėmimo aktai Sutarties vykdymo metu nebus pasirašomi, lygiaverčiu dokumentu bus laikoma šiame punkte nurodyta pažyma.</w:t>
      </w:r>
    </w:p>
    <w:p w14:paraId="0F7130DA" w14:textId="77777777" w:rsidR="001041AA" w:rsidRPr="00BA53E3" w:rsidRDefault="001041AA" w:rsidP="001041AA">
      <w:pPr>
        <w:pStyle w:val="ListParagraph"/>
        <w:tabs>
          <w:tab w:val="left" w:pos="567"/>
        </w:tabs>
        <w:spacing w:before="60" w:after="60"/>
        <w:ind w:left="0" w:firstLine="0"/>
        <w:contextualSpacing w:val="0"/>
        <w:jc w:val="both"/>
        <w:rPr>
          <w:rStyle w:val="Laukeliai"/>
          <w:rFonts w:cs="Arial"/>
          <w:color w:val="FF0000"/>
          <w:szCs w:val="20"/>
        </w:rPr>
      </w:pPr>
    </w:p>
    <w:p w14:paraId="046BD32C" w14:textId="77777777" w:rsidR="001041AA" w:rsidRPr="00BA53E3" w:rsidRDefault="001041AA" w:rsidP="001041AA">
      <w:pPr>
        <w:pStyle w:val="ListParagraph"/>
        <w:numPr>
          <w:ilvl w:val="0"/>
          <w:numId w:val="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 xml:space="preserve">PIRKĖJO SUTARTINIAI ĮSIPAREIGOJIMAI </w:t>
      </w:r>
    </w:p>
    <w:p w14:paraId="3790E666" w14:textId="77777777" w:rsidR="001041AA" w:rsidRPr="008F6906" w:rsidRDefault="001041AA" w:rsidP="001041AA">
      <w:pPr>
        <w:pStyle w:val="ListParagraph"/>
        <w:numPr>
          <w:ilvl w:val="1"/>
          <w:numId w:val="8"/>
        </w:numPr>
        <w:tabs>
          <w:tab w:val="left" w:pos="567"/>
        </w:tabs>
        <w:spacing w:before="60" w:after="60"/>
        <w:ind w:left="0" w:firstLine="0"/>
        <w:jc w:val="both"/>
        <w:rPr>
          <w:rStyle w:val="Laukeliai"/>
          <w:rFonts w:cs="Arial"/>
          <w:szCs w:val="20"/>
        </w:rPr>
      </w:pPr>
      <w:r w:rsidRPr="008F6906">
        <w:rPr>
          <w:rStyle w:val="Laukeliai"/>
          <w:rFonts w:cs="Arial"/>
          <w:szCs w:val="20"/>
        </w:rPr>
        <w:lastRenderedPageBreak/>
        <w:t xml:space="preserve">Už Bendrovės naudai įvykdytą elektros energijos įsigijimą iš elektros energijos biržos, </w:t>
      </w:r>
      <w:r>
        <w:rPr>
          <w:rStyle w:val="Laukeliai"/>
          <w:rFonts w:cs="Arial"/>
          <w:szCs w:val="20"/>
        </w:rPr>
        <w:t>Pirkėjas</w:t>
      </w:r>
      <w:r w:rsidRPr="008F6906">
        <w:rPr>
          <w:rStyle w:val="Laukeliai"/>
          <w:rFonts w:cs="Arial"/>
          <w:szCs w:val="20"/>
        </w:rPr>
        <w:t xml:space="preserve"> su BET atsiskaito kas savaitę, elektros biržos valandinėmis kainomis pagal pateiktus mokėjimo dokumentus.</w:t>
      </w:r>
    </w:p>
    <w:p w14:paraId="4CE39F5C" w14:textId="77777777" w:rsidR="001041AA" w:rsidRPr="007A2691" w:rsidRDefault="001041AA" w:rsidP="001041AA">
      <w:pPr>
        <w:pStyle w:val="ListParagraph"/>
        <w:numPr>
          <w:ilvl w:val="1"/>
          <w:numId w:val="8"/>
        </w:numPr>
        <w:tabs>
          <w:tab w:val="left" w:pos="567"/>
        </w:tabs>
        <w:spacing w:before="60" w:after="60"/>
        <w:ind w:left="0" w:firstLine="0"/>
        <w:jc w:val="both"/>
        <w:rPr>
          <w:rStyle w:val="Laukeliai"/>
          <w:rFonts w:cs="Arial"/>
          <w:szCs w:val="20"/>
        </w:rPr>
      </w:pPr>
      <w:r w:rsidRPr="007A2691">
        <w:rPr>
          <w:rStyle w:val="Laukeliai"/>
          <w:rFonts w:cs="Arial"/>
          <w:szCs w:val="20"/>
        </w:rPr>
        <w:t>Už visas kitas BET paslaugas Pirkėjas atsiskaito vieną kartą už kalendorinį mėnesį, iki po ataskaitinio mėnesio paskutinės kalendorinės dienos.</w:t>
      </w:r>
    </w:p>
    <w:p w14:paraId="53657120" w14:textId="77777777" w:rsidR="001041AA" w:rsidRPr="00BA53E3" w:rsidRDefault="001041AA" w:rsidP="001041AA">
      <w:pPr>
        <w:pStyle w:val="ListParagraph"/>
        <w:tabs>
          <w:tab w:val="left" w:pos="567"/>
        </w:tabs>
        <w:spacing w:before="60" w:after="60"/>
        <w:ind w:left="0" w:firstLine="0"/>
        <w:contextualSpacing w:val="0"/>
        <w:jc w:val="both"/>
        <w:rPr>
          <w:rStyle w:val="Laukeliai"/>
          <w:rFonts w:cs="Arial"/>
          <w:szCs w:val="20"/>
        </w:rPr>
      </w:pPr>
    </w:p>
    <w:p w14:paraId="75B1B742" w14:textId="77777777" w:rsidR="001041AA" w:rsidRDefault="001041AA" w:rsidP="001041AA">
      <w:pPr>
        <w:pStyle w:val="ListParagraph"/>
        <w:tabs>
          <w:tab w:val="left" w:pos="540"/>
        </w:tabs>
        <w:spacing w:before="60" w:after="60"/>
        <w:ind w:left="0" w:firstLine="0"/>
        <w:jc w:val="both"/>
        <w:rPr>
          <w:rFonts w:cs="Arial"/>
          <w:bCs/>
          <w:sz w:val="20"/>
          <w:szCs w:val="20"/>
        </w:rPr>
      </w:pPr>
    </w:p>
    <w:p w14:paraId="3DD048A0" w14:textId="77777777" w:rsidR="00B87E76" w:rsidRDefault="00B87E76"/>
    <w:sectPr w:rsidR="00B87E76">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B161E" w14:textId="77777777" w:rsidR="00DA612A" w:rsidRDefault="00DA612A" w:rsidP="001041AA">
      <w:r>
        <w:separator/>
      </w:r>
    </w:p>
  </w:endnote>
  <w:endnote w:type="continuationSeparator" w:id="0">
    <w:p w14:paraId="25FDF691" w14:textId="77777777" w:rsidR="00DA612A" w:rsidRDefault="00DA612A" w:rsidP="0010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1D03F" w14:textId="77777777" w:rsidR="00DA612A" w:rsidRDefault="00DA612A" w:rsidP="001041AA">
      <w:r>
        <w:separator/>
      </w:r>
    </w:p>
  </w:footnote>
  <w:footnote w:type="continuationSeparator" w:id="0">
    <w:p w14:paraId="33C1F5EC" w14:textId="77777777" w:rsidR="00DA612A" w:rsidRDefault="00DA612A" w:rsidP="001041AA">
      <w:r>
        <w:continuationSeparator/>
      </w:r>
    </w:p>
  </w:footnote>
  <w:footnote w:id="1">
    <w:p w14:paraId="3D19A68C" w14:textId="323BEE2D" w:rsidR="001041AA" w:rsidRDefault="001041AA" w:rsidP="001041AA">
      <w:pPr>
        <w:pStyle w:val="FootnoteText"/>
      </w:pPr>
      <w:r>
        <w:rPr>
          <w:rStyle w:val="FootnoteReference"/>
        </w:rPr>
        <w:footnoteRef/>
      </w:r>
      <w:r>
        <w:t xml:space="preserve"> Sutarties galiojimo laikotarpiu perkamas elektros energijos tiekimo kiekis metų eigoje suderintu grafiku gali kisti pagal esamą Pirkėjo poreikį, tačiau  negali viršyti Techninės specifikacijos  5.2.11. punkte nurodyto kiekio Sutarties galiojimo laikotarpiu.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3B6D8" w14:textId="77777777" w:rsidR="001041AA" w:rsidRDefault="001041AA">
    <w:pPr>
      <w:pStyle w:val="Header"/>
    </w:pPr>
    <w:r>
      <w:rPr>
        <w:noProof/>
        <w:lang w:eastAsia="lt-LT"/>
      </w:rPr>
      <mc:AlternateContent>
        <mc:Choice Requires="wps">
          <w:drawing>
            <wp:anchor distT="0" distB="0" distL="114300" distR="114300" simplePos="0" relativeHeight="251659264" behindDoc="0" locked="0" layoutInCell="0" allowOverlap="1" wp14:anchorId="6FB01144" wp14:editId="5093470D">
              <wp:simplePos x="0" y="0"/>
              <wp:positionH relativeFrom="page">
                <wp:posOffset>0</wp:posOffset>
              </wp:positionH>
              <wp:positionV relativeFrom="page">
                <wp:posOffset>190500</wp:posOffset>
              </wp:positionV>
              <wp:extent cx="7560310" cy="266700"/>
              <wp:effectExtent l="0" t="0" r="0" b="0"/>
              <wp:wrapNone/>
              <wp:docPr id="1" name="MSIPCM7f5341f99a16cedd31d8eaa9"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449712" w14:textId="77777777" w:rsidR="001041AA" w:rsidRPr="001041AA" w:rsidRDefault="001041AA" w:rsidP="001041A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FB01144" id="_x0000_t202" coordsize="21600,21600" o:spt="202" path="m,l,21600r21600,l21600,xe">
              <v:stroke joinstyle="miter"/>
              <v:path gradientshapeok="t" o:connecttype="rect"/>
            </v:shapetype>
            <v:shape id="MSIPCM7f5341f99a16cedd31d8eaa9"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FpbQMAAEcHAAAOAAAAZHJzL2Uyb0RvYy54bWysVUtz2zYQvnem/wGDQ06VSUrUg4rljC2P&#10;Ws8oiaZyx2cIDxMTEmAAyKKayX/vAgQZ2+2hyeRCLvaFfXy7uHzX1hV64sZKrVY4u0gx4opqJtXj&#10;Cv91vxktMLKOKEYqrfgKn7nF765+/eXy1Cz5WJe6YtwgcKLs8tSscOlcs0wSS0teE3uhG65AKLSp&#10;iYOjeUyYISfwXlfJOE1nyUkb1hhNubXAve2E+Cr4F4JT91EIyx2qVhhic+Frwvfgv8nVJVk+GtKU&#10;ksYwyA9EUROp4NLB1S1xBB2N/JerWlKjrRbuguo60UJIykMOkE2WvspmX5KGh1ygOLYZymR/nlv6&#10;4WlnkGTQO4wUqaFF7/d3u/X7uZhO8kwUBclmlDM2ydiCE1JgxLilUMEvbz4ftXv7B7HlWjPenZaT&#10;bJJl02Iy+S2KuXwsXRQucgBIFDxI5srInxbTgb+rCOU1V71N74YATjo6OrhTjLfRQffbGVkTc36h&#10;tQcEADSjXhZt73UTOelw8ZaL/k5gfvXIODV2CQXaN1Ai197o1lcp8i0wfcNbYWr/h1YikAPGzgOu&#10;eOsQBeZ8OksnGYgoyMaz2TwNwEu+WTfGut+5rpEnVthA1AFO5GlrHdwIqr2Kv0zpjayqgN1KodMK&#10;zybTNBgMErColNflYQo6N3BqHZCBD8EFhH4psnGe3oyL0Wa2mI/yTT4dFfN0MUqz4qaYpXmR326+&#10;eu9ZviwlY1xtpeL9tGT5/0NjnNsO52FeXgRudSWZz8rH5nNdVwY9ERjbAyDiky87pPRMK3kZThBD&#10;dv0/ZJn4DnadCpQ7V9z7r9SfXADqQ8M8I+wbPlxJKAUEhl6HOoK21xIQ3vcYRn1v2nXhe4wHi3Cz&#10;Vm4wrqXSJnT7VdjsUx+y6PShGM/y9qRrD21E8EGzMwDbaAAcYNM2dCOh7lti3Y4Y2ILAhM3uPsJH&#10;VBpQpiOFUanN3//F9/oAB5BidIKtusL285EYjlF1p2BtFVmeg1sXDkCYQIyneQojgQ49Wx3rtYbW&#10;w06CsALplV3Vk8Lo+gE2/7W/DkREUbh0hV1Prh2cQAAvB+XX14GGjdsQt1X7hnrXvq4eaPftAzFN&#10;nDwHEPqg+8VLlq8GsNP1lkpfH50WMkynr2xXzlhx2NYBiPFl8c/B83PQ+vb+Xf0D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GO8AWltAwAARwcAAA4AAAAAAAAAAAAAAAAALgIAAGRycy9lMm9Eb2MueG1sUEsBAi0AFAAGAAgA&#10;AAAhADekejrcAAAABwEAAA8AAAAAAAAAAAAAAAAAxwUAAGRycy9kb3ducmV2LnhtbFBLBQYAAAAA&#10;BAAEAPMAAADQBgAAAAA=&#10;" o:allowincell="f" filled="f" stroked="f" strokeweight=".5pt">
              <v:textbox inset=",0,20pt,0">
                <w:txbxContent>
                  <w:p w14:paraId="3F449712" w14:textId="77777777" w:rsidR="001041AA" w:rsidRPr="001041AA" w:rsidRDefault="001041AA" w:rsidP="001041A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290CC1"/>
    <w:multiLevelType w:val="multilevel"/>
    <w:tmpl w:val="DD14FAA6"/>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1331EF"/>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CF276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6D1B39"/>
    <w:multiLevelType w:val="multilevel"/>
    <w:tmpl w:val="42B236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
  </w:num>
  <w:num w:numId="3">
    <w:abstractNumId w:val="6"/>
  </w:num>
  <w:num w:numId="4">
    <w:abstractNumId w:val="8"/>
  </w:num>
  <w:num w:numId="5">
    <w:abstractNumId w:val="0"/>
  </w:num>
  <w:num w:numId="6">
    <w:abstractNumId w:val="9"/>
  </w:num>
  <w:num w:numId="7">
    <w:abstractNumId w:val="4"/>
  </w:num>
  <w:num w:numId="8">
    <w:abstractNumId w:val="7"/>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AA"/>
    <w:rsid w:val="001041AA"/>
    <w:rsid w:val="002D2DC3"/>
    <w:rsid w:val="00397598"/>
    <w:rsid w:val="00410F08"/>
    <w:rsid w:val="004E6304"/>
    <w:rsid w:val="005268C4"/>
    <w:rsid w:val="00565A17"/>
    <w:rsid w:val="00587035"/>
    <w:rsid w:val="00587209"/>
    <w:rsid w:val="0076005C"/>
    <w:rsid w:val="008B5DE9"/>
    <w:rsid w:val="00952FC0"/>
    <w:rsid w:val="009B0E2C"/>
    <w:rsid w:val="00A54797"/>
    <w:rsid w:val="00B00729"/>
    <w:rsid w:val="00B87E76"/>
    <w:rsid w:val="00C87358"/>
    <w:rsid w:val="00CB65E2"/>
    <w:rsid w:val="00D17E9D"/>
    <w:rsid w:val="00DA612A"/>
    <w:rsid w:val="00E855C0"/>
    <w:rsid w:val="00E90671"/>
    <w:rsid w:val="00FF7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7DF434"/>
  <w15:chartTrackingRefBased/>
  <w15:docId w15:val="{A0D0DE87-38B8-4940-912E-D8E6F245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AA"/>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041A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041AA"/>
    <w:rPr>
      <w:rFonts w:ascii="Arial" w:hAnsi="Arial"/>
    </w:rPr>
  </w:style>
  <w:style w:type="character" w:customStyle="1" w:styleId="Laukeliai">
    <w:name w:val="Laukeliai"/>
    <w:basedOn w:val="DefaultParagraphFont"/>
    <w:uiPriority w:val="1"/>
    <w:rsid w:val="001041AA"/>
    <w:rPr>
      <w:rFonts w:ascii="Arial" w:hAnsi="Arial"/>
      <w:sz w:val="20"/>
    </w:rPr>
  </w:style>
  <w:style w:type="paragraph" w:styleId="FootnoteText">
    <w:name w:val="footnote text"/>
    <w:basedOn w:val="Normal"/>
    <w:link w:val="FootnoteTextChar"/>
    <w:uiPriority w:val="99"/>
    <w:unhideWhenUsed/>
    <w:rsid w:val="001041AA"/>
    <w:rPr>
      <w:sz w:val="20"/>
      <w:szCs w:val="20"/>
    </w:rPr>
  </w:style>
  <w:style w:type="character" w:customStyle="1" w:styleId="FootnoteTextChar">
    <w:name w:val="Footnote Text Char"/>
    <w:basedOn w:val="DefaultParagraphFont"/>
    <w:link w:val="FootnoteText"/>
    <w:uiPriority w:val="99"/>
    <w:rsid w:val="001041AA"/>
    <w:rPr>
      <w:rFonts w:ascii="Arial" w:hAnsi="Arial"/>
      <w:sz w:val="20"/>
      <w:szCs w:val="20"/>
    </w:rPr>
  </w:style>
  <w:style w:type="character" w:styleId="FootnoteReference">
    <w:name w:val="footnote reference"/>
    <w:aliases w:val="fr"/>
    <w:basedOn w:val="DefaultParagraphFont"/>
    <w:uiPriority w:val="99"/>
    <w:unhideWhenUsed/>
    <w:rsid w:val="001041AA"/>
    <w:rPr>
      <w:vertAlign w:val="superscript"/>
    </w:rPr>
  </w:style>
  <w:style w:type="table" w:customStyle="1" w:styleId="TableGrid1">
    <w:name w:val="Table Grid1"/>
    <w:basedOn w:val="TableNormal"/>
    <w:next w:val="TableGrid"/>
    <w:uiPriority w:val="59"/>
    <w:rsid w:val="001041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1AA"/>
    <w:pPr>
      <w:tabs>
        <w:tab w:val="center" w:pos="4819"/>
        <w:tab w:val="right" w:pos="9638"/>
      </w:tabs>
    </w:pPr>
  </w:style>
  <w:style w:type="character" w:customStyle="1" w:styleId="HeaderChar">
    <w:name w:val="Header Char"/>
    <w:basedOn w:val="DefaultParagraphFont"/>
    <w:link w:val="Header"/>
    <w:uiPriority w:val="99"/>
    <w:rsid w:val="001041AA"/>
    <w:rPr>
      <w:rFonts w:ascii="Arial" w:hAnsi="Arial"/>
    </w:rPr>
  </w:style>
  <w:style w:type="paragraph" w:styleId="Footer">
    <w:name w:val="footer"/>
    <w:basedOn w:val="Normal"/>
    <w:link w:val="FooterChar"/>
    <w:uiPriority w:val="99"/>
    <w:unhideWhenUsed/>
    <w:rsid w:val="001041AA"/>
    <w:pPr>
      <w:tabs>
        <w:tab w:val="center" w:pos="4819"/>
        <w:tab w:val="right" w:pos="9638"/>
      </w:tabs>
    </w:pPr>
  </w:style>
  <w:style w:type="character" w:customStyle="1" w:styleId="FooterChar">
    <w:name w:val="Footer Char"/>
    <w:basedOn w:val="DefaultParagraphFont"/>
    <w:link w:val="Footer"/>
    <w:uiPriority w:val="99"/>
    <w:rsid w:val="001041AA"/>
    <w:rPr>
      <w:rFonts w:ascii="Arial" w:hAnsi="Arial"/>
    </w:rPr>
  </w:style>
  <w:style w:type="character" w:styleId="CommentReference">
    <w:name w:val="annotation reference"/>
    <w:basedOn w:val="DefaultParagraphFont"/>
    <w:uiPriority w:val="99"/>
    <w:semiHidden/>
    <w:unhideWhenUsed/>
    <w:rsid w:val="009B0E2C"/>
    <w:rPr>
      <w:sz w:val="16"/>
      <w:szCs w:val="16"/>
    </w:rPr>
  </w:style>
  <w:style w:type="paragraph" w:styleId="CommentText">
    <w:name w:val="annotation text"/>
    <w:basedOn w:val="Normal"/>
    <w:link w:val="CommentTextChar"/>
    <w:uiPriority w:val="99"/>
    <w:semiHidden/>
    <w:unhideWhenUsed/>
    <w:rsid w:val="009B0E2C"/>
    <w:rPr>
      <w:sz w:val="20"/>
      <w:szCs w:val="20"/>
    </w:rPr>
  </w:style>
  <w:style w:type="character" w:customStyle="1" w:styleId="CommentTextChar">
    <w:name w:val="Comment Text Char"/>
    <w:basedOn w:val="DefaultParagraphFont"/>
    <w:link w:val="CommentText"/>
    <w:uiPriority w:val="99"/>
    <w:semiHidden/>
    <w:rsid w:val="009B0E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B0E2C"/>
    <w:rPr>
      <w:b/>
      <w:bCs/>
    </w:rPr>
  </w:style>
  <w:style w:type="character" w:customStyle="1" w:styleId="CommentSubjectChar">
    <w:name w:val="Comment Subject Char"/>
    <w:basedOn w:val="CommentTextChar"/>
    <w:link w:val="CommentSubject"/>
    <w:uiPriority w:val="99"/>
    <w:semiHidden/>
    <w:rsid w:val="009B0E2C"/>
    <w:rPr>
      <w:rFonts w:ascii="Arial" w:hAnsi="Arial"/>
      <w:b/>
      <w:bCs/>
      <w:sz w:val="20"/>
      <w:szCs w:val="20"/>
    </w:rPr>
  </w:style>
  <w:style w:type="paragraph" w:styleId="BalloonText">
    <w:name w:val="Balloon Text"/>
    <w:basedOn w:val="Normal"/>
    <w:link w:val="BalloonTextChar"/>
    <w:uiPriority w:val="99"/>
    <w:semiHidden/>
    <w:unhideWhenUsed/>
    <w:rsid w:val="009B0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E2C"/>
    <w:rPr>
      <w:rFonts w:ascii="Segoe UI" w:hAnsi="Segoe UI" w:cs="Segoe UI"/>
      <w:sz w:val="18"/>
      <w:szCs w:val="18"/>
    </w:rPr>
  </w:style>
  <w:style w:type="paragraph" w:customStyle="1" w:styleId="Default">
    <w:name w:val="Default"/>
    <w:rsid w:val="00E855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ED79EA55DB45B3BC28E805B8972CC5"/>
        <w:category>
          <w:name w:val="General"/>
          <w:gallery w:val="placeholder"/>
        </w:category>
        <w:types>
          <w:type w:val="bbPlcHdr"/>
        </w:types>
        <w:behaviors>
          <w:behavior w:val="content"/>
        </w:behaviors>
        <w:guid w:val="{80186FA0-DE92-49C9-838F-5778AB2A0C51}"/>
      </w:docPartPr>
      <w:docPartBody>
        <w:p w:rsidR="008B72AE" w:rsidRDefault="00645D9D" w:rsidP="00645D9D">
          <w:pPr>
            <w:pStyle w:val="7DED79EA55DB45B3BC28E805B8972CC5"/>
          </w:pPr>
          <w:r w:rsidRPr="00BA53E3">
            <w:rPr>
              <w:rStyle w:val="Laukeliai"/>
              <w:rFonts w:cs="Arial"/>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9D"/>
    <w:rsid w:val="00645D9D"/>
    <w:rsid w:val="00683BDA"/>
    <w:rsid w:val="008B72AE"/>
    <w:rsid w:val="00CA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645D9D"/>
    <w:rPr>
      <w:rFonts w:ascii="Arial" w:hAnsi="Arial"/>
      <w:sz w:val="20"/>
    </w:rPr>
  </w:style>
  <w:style w:type="paragraph" w:customStyle="1" w:styleId="7DED79EA55DB45B3BC28E805B8972CC5">
    <w:name w:val="7DED79EA55DB45B3BC28E805B8972CC5"/>
    <w:rsid w:val="00645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5703</Words>
  <Characters>3251</Characters>
  <Application>Microsoft Office Word</Application>
  <DocSecurity>0</DocSecurity>
  <Lines>27</Lines>
  <Paragraphs>17</Paragraphs>
  <ScaleCrop>false</ScaleCrop>
  <Company>UAB TIC</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Kaupinienė</dc:creator>
  <cp:keywords/>
  <dc:description/>
  <cp:lastModifiedBy>Jūratė Kaupinienė</cp:lastModifiedBy>
  <cp:revision>20</cp:revision>
  <dcterms:created xsi:type="dcterms:W3CDTF">2019-07-24T12:57:00Z</dcterms:created>
  <dcterms:modified xsi:type="dcterms:W3CDTF">2019-09-13T05:52:00Z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Jurate.Kaupiniene@le.lt</vt:lpwstr>
  </property>
  <property fmtid="{D5CDD505-2E9C-101B-9397-08002B2CF9AE}" pid="5" name="MSIP_Label_320c693d-44b7-4e16-b3dd-4fcd87401cf5_SetDate">
    <vt:lpwstr>2019-07-24T12:58:46.9178796Z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cd75410d-4033-4682-ab18-22138be27def</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Jurate.Kaupiniene@le.lt</vt:lpwstr>
  </property>
  <property fmtid="{D5CDD505-2E9C-101B-9397-08002B2CF9AE}" pid="13" name="MSIP_Label_190751af-2442-49a7-b7b9-9f0bcce858c9_SetDate">
    <vt:lpwstr>2019-07-24T12:58:46.9178796Z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cd75410d-4033-4682-ab18-22138be27def</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