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1FADACBC" w:rsidR="00A260E7" w:rsidRPr="00045FBF" w:rsidRDefault="00D82531" w:rsidP="00E33E45">
            <w:pPr>
              <w:spacing w:before="40" w:after="40"/>
              <w:rPr>
                <w:rFonts w:ascii="Tahoma" w:eastAsia="Times New Roman" w:hAnsi="Tahoma" w:cs="Tahoma"/>
                <w:b/>
                <w:bCs/>
                <w:sz w:val="18"/>
                <w:szCs w:val="18"/>
                <w:lang w:val="lt-LT"/>
              </w:rPr>
            </w:pPr>
            <w:r w:rsidRPr="00D82531">
              <w:rPr>
                <w:rFonts w:ascii="Tahoma" w:eastAsia="Times New Roman" w:hAnsi="Tahoma" w:cs="Tahoma"/>
                <w:b/>
                <w:bCs/>
                <w:sz w:val="18"/>
                <w:szCs w:val="18"/>
                <w:lang w:val="lt-LT"/>
              </w:rPr>
              <w:t xml:space="preserve">Šilumos tinklų nuo </w:t>
            </w:r>
            <w:proofErr w:type="spellStart"/>
            <w:r w:rsidRPr="00D82531">
              <w:rPr>
                <w:rFonts w:ascii="Tahoma" w:eastAsia="Times New Roman" w:hAnsi="Tahoma" w:cs="Tahoma"/>
                <w:b/>
                <w:bCs/>
                <w:sz w:val="18"/>
                <w:szCs w:val="18"/>
                <w:lang w:val="lt-LT"/>
              </w:rPr>
              <w:t>Tšk</w:t>
            </w:r>
            <w:proofErr w:type="spellEnd"/>
            <w:r w:rsidRPr="00D82531">
              <w:rPr>
                <w:rFonts w:ascii="Tahoma" w:eastAsia="Times New Roman" w:hAnsi="Tahoma" w:cs="Tahoma"/>
                <w:b/>
                <w:bCs/>
                <w:sz w:val="18"/>
                <w:szCs w:val="18"/>
                <w:lang w:val="lt-LT"/>
              </w:rPr>
              <w:t xml:space="preserve"> „A“ prie Š-306 iki </w:t>
            </w:r>
            <w:proofErr w:type="spellStart"/>
            <w:r w:rsidRPr="00D82531">
              <w:rPr>
                <w:rFonts w:ascii="Tahoma" w:eastAsia="Times New Roman" w:hAnsi="Tahoma" w:cs="Tahoma"/>
                <w:b/>
                <w:bCs/>
                <w:sz w:val="18"/>
                <w:szCs w:val="18"/>
                <w:lang w:val="lt-LT"/>
              </w:rPr>
              <w:t>M.Riomerio</w:t>
            </w:r>
            <w:proofErr w:type="spellEnd"/>
            <w:r w:rsidRPr="00D82531">
              <w:rPr>
                <w:rFonts w:ascii="Tahoma" w:eastAsia="Times New Roman" w:hAnsi="Tahoma" w:cs="Tahoma"/>
                <w:b/>
                <w:bCs/>
                <w:sz w:val="18"/>
                <w:szCs w:val="18"/>
                <w:lang w:val="lt-LT"/>
              </w:rPr>
              <w:t xml:space="preserve"> g. 5 su atšakomis Rokiškyje rekonstravimo projektas</w:t>
            </w: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411A4160" w:rsidR="00A260E7" w:rsidRPr="00045FBF" w:rsidRDefault="00D82531" w:rsidP="007A6A93">
            <w:pPr>
              <w:spacing w:before="40" w:after="40"/>
              <w:jc w:val="left"/>
              <w:rPr>
                <w:rFonts w:ascii="Tahoma" w:eastAsia="Times New Roman" w:hAnsi="Tahoma" w:cs="Tahoma"/>
                <w:sz w:val="18"/>
                <w:szCs w:val="18"/>
                <w:lang w:val="lt-LT"/>
              </w:rPr>
            </w:pPr>
            <w:r>
              <w:rPr>
                <w:rFonts w:ascii="Tahoma" w:eastAsia="Times New Roman" w:hAnsi="Tahoma" w:cs="Tahoma"/>
                <w:sz w:val="18"/>
                <w:szCs w:val="18"/>
                <w:lang w:val="lt-LT"/>
              </w:rPr>
              <w:t>Pasirašymo data</w:t>
            </w:r>
          </w:p>
        </w:tc>
        <w:tc>
          <w:tcPr>
            <w:tcW w:w="4237" w:type="dxa"/>
            <w:vAlign w:val="center"/>
          </w:tcPr>
          <w:p w14:paraId="6FE9DB11" w14:textId="5132A74F"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r w:rsidR="00D82531">
              <w:rPr>
                <w:rFonts w:ascii="Tahoma" w:eastAsia="Times New Roman" w:hAnsi="Tahoma" w:cs="Tahoma"/>
                <w:b/>
                <w:bCs/>
                <w:sz w:val="18"/>
                <w:szCs w:val="18"/>
                <w:lang w:val="lt-LT"/>
              </w:rPr>
              <w:t xml:space="preserve"> </w:t>
            </w:r>
            <w:r w:rsidR="00D82531" w:rsidRPr="00D82531">
              <w:rPr>
                <w:rFonts w:ascii="Tahoma" w:eastAsia="Times New Roman" w:hAnsi="Tahoma" w:cs="Tahoma"/>
                <w:b/>
                <w:bCs/>
                <w:sz w:val="18"/>
                <w:szCs w:val="18"/>
                <w:lang w:val="lt-LT"/>
              </w:rPr>
              <w:t>CPO345998</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27CD4140"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r w:rsidR="00E32CDC">
              <w:rPr>
                <w:rFonts w:ascii="Tahoma" w:eastAsia="Times New Roman" w:hAnsi="Tahoma" w:cs="Tahoma"/>
                <w:b/>
                <w:bCs/>
                <w:sz w:val="18"/>
                <w:szCs w:val="18"/>
                <w:lang w:val="lt-LT"/>
              </w:rPr>
              <w:t xml:space="preserve"> </w:t>
            </w:r>
            <w:r w:rsidR="00E32CDC" w:rsidRPr="00E32CDC">
              <w:rPr>
                <w:rFonts w:ascii="Tahoma" w:eastAsia="Times New Roman" w:hAnsi="Tahoma" w:cs="Tahoma"/>
                <w:sz w:val="18"/>
                <w:szCs w:val="18"/>
                <w:lang w:val="lt-LT"/>
              </w:rPr>
              <w:t>2025-05-30</w:t>
            </w:r>
          </w:p>
        </w:tc>
      </w:tr>
    </w:tbl>
    <w:p w14:paraId="670B9206" w14:textId="77777777" w:rsidR="00DE47B8" w:rsidRPr="00045FBF" w:rsidRDefault="00DE47B8">
      <w:pPr>
        <w:rPr>
          <w:rFonts w:ascii="Tahoma" w:hAnsi="Tahoma" w:cs="Tahoma"/>
          <w:sz w:val="18"/>
          <w:szCs w:val="18"/>
        </w:rPr>
      </w:pPr>
    </w:p>
    <w:tbl>
      <w:tblPr>
        <w:tblW w:w="485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1"/>
        <w:gridCol w:w="3362"/>
        <w:gridCol w:w="3118"/>
        <w:gridCol w:w="3260"/>
      </w:tblGrid>
      <w:tr w:rsidR="007F63A8" w:rsidRPr="008B700A" w14:paraId="6808E6E5"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8B700A" w:rsidRDefault="007F63A8" w:rsidP="00C81614">
            <w:pPr>
              <w:pStyle w:val="Sraopastraipa"/>
              <w:ind w:left="0"/>
              <w:jc w:val="left"/>
              <w:rPr>
                <w:rFonts w:ascii="Tahoma" w:hAnsi="Tahoma" w:cs="Tahoma"/>
                <w:b/>
                <w:bCs/>
                <w:sz w:val="18"/>
                <w:szCs w:val="18"/>
                <w:lang w:val="lt-LT"/>
              </w:rPr>
            </w:pPr>
            <w:r w:rsidRPr="008B700A">
              <w:rPr>
                <w:rFonts w:ascii="Tahoma" w:hAnsi="Tahoma" w:cs="Tahoma"/>
                <w:b/>
                <w:bCs/>
                <w:sz w:val="18"/>
                <w:szCs w:val="18"/>
                <w:lang w:val="lt-LT"/>
              </w:rPr>
              <w:t>Eil. Nr.</w:t>
            </w:r>
          </w:p>
        </w:tc>
        <w:tc>
          <w:tcPr>
            <w:tcW w:w="3362"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8B700A" w:rsidRDefault="007F63A8" w:rsidP="00C81614">
            <w:pPr>
              <w:jc w:val="left"/>
              <w:rPr>
                <w:rFonts w:ascii="Tahoma" w:hAnsi="Tahoma" w:cs="Tahoma"/>
                <w:b/>
                <w:bCs/>
                <w:sz w:val="18"/>
                <w:szCs w:val="18"/>
                <w:lang w:val="lt-LT"/>
              </w:rPr>
            </w:pPr>
            <w:r w:rsidRPr="008B700A">
              <w:rPr>
                <w:rFonts w:ascii="Tahoma" w:hAnsi="Tahoma" w:cs="Tahoma"/>
                <w:b/>
                <w:bCs/>
                <w:sz w:val="18"/>
                <w:szCs w:val="18"/>
                <w:lang w:val="lt-LT"/>
              </w:rPr>
              <w:t>Specialisto funkcijos, vykdomos atliekant Darbus</w:t>
            </w:r>
          </w:p>
        </w:tc>
        <w:tc>
          <w:tcPr>
            <w:tcW w:w="3118"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8B700A" w:rsidRDefault="007F63A8" w:rsidP="00C81614">
            <w:pPr>
              <w:jc w:val="left"/>
              <w:rPr>
                <w:rFonts w:ascii="Tahoma" w:hAnsi="Tahoma" w:cs="Tahoma"/>
                <w:b/>
                <w:bCs/>
                <w:sz w:val="18"/>
                <w:szCs w:val="18"/>
                <w:lang w:val="lt-LT"/>
              </w:rPr>
            </w:pPr>
            <w:r w:rsidRPr="008B700A">
              <w:rPr>
                <w:rFonts w:ascii="Tahoma" w:hAnsi="Tahoma" w:cs="Tahoma"/>
                <w:b/>
                <w:bCs/>
                <w:sz w:val="18"/>
                <w:szCs w:val="18"/>
                <w:lang w:val="lt-LT"/>
              </w:rPr>
              <w:t>Specialisto vardas, pavardė, mob. telefono Nr., el. pašto adresas</w:t>
            </w:r>
            <w:r w:rsidRPr="008B700A">
              <w:rPr>
                <w:rStyle w:val="Puslapioinaosnuoroda"/>
                <w:rFonts w:ascii="Tahoma" w:hAnsi="Tahoma" w:cs="Tahoma"/>
                <w:b/>
                <w:bCs/>
                <w:sz w:val="18"/>
                <w:szCs w:val="18"/>
                <w:lang w:val="lt-L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8B700A" w:rsidRDefault="007F63A8" w:rsidP="00C81614">
            <w:pPr>
              <w:jc w:val="left"/>
              <w:rPr>
                <w:rFonts w:ascii="Tahoma" w:hAnsi="Tahoma" w:cs="Tahoma"/>
                <w:b/>
                <w:bCs/>
                <w:sz w:val="18"/>
                <w:szCs w:val="18"/>
                <w:lang w:val="lt-LT"/>
              </w:rPr>
            </w:pPr>
            <w:r w:rsidRPr="008B700A">
              <w:rPr>
                <w:rFonts w:ascii="Tahoma" w:hAnsi="Tahoma" w:cs="Tahoma"/>
                <w:b/>
                <w:bCs/>
                <w:sz w:val="18"/>
                <w:szCs w:val="18"/>
                <w:lang w:val="lt-LT"/>
              </w:rPr>
              <w:t>Specialisto darbdavio pavadinimas, juridinio asmens kodas</w:t>
            </w:r>
          </w:p>
        </w:tc>
      </w:tr>
      <w:tr w:rsidR="00335A92" w:rsidRPr="008B700A" w14:paraId="7F9E5414"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57F44745" w14:textId="77777777" w:rsidR="00335A92" w:rsidRPr="008B700A" w:rsidRDefault="00335A92" w:rsidP="00335A92">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515F0D5D" w14:textId="3D34205E" w:rsidR="00335A92" w:rsidRPr="008B700A" w:rsidRDefault="00335A92" w:rsidP="00335A92">
            <w:pPr>
              <w:jc w:val="left"/>
              <w:rPr>
                <w:rFonts w:ascii="Tahoma" w:hAnsi="Tahoma" w:cs="Tahoma"/>
                <w:sz w:val="18"/>
                <w:szCs w:val="18"/>
                <w:lang w:val="lt-LT"/>
              </w:rPr>
            </w:pPr>
            <w:r w:rsidRPr="008B700A">
              <w:rPr>
                <w:rFonts w:ascii="Tahoma" w:hAnsi="Tahoma" w:cs="Tahoma"/>
                <w:b/>
                <w:bCs/>
                <w:sz w:val="18"/>
                <w:szCs w:val="18"/>
                <w:lang w:val="lt-LT"/>
              </w:rPr>
              <w:t>Statybos darbų vadovas</w:t>
            </w:r>
          </w:p>
        </w:tc>
        <w:tc>
          <w:tcPr>
            <w:tcW w:w="3118" w:type="dxa"/>
            <w:tcBorders>
              <w:top w:val="single" w:sz="4" w:space="0" w:color="auto"/>
              <w:left w:val="single" w:sz="4" w:space="0" w:color="auto"/>
              <w:bottom w:val="single" w:sz="4" w:space="0" w:color="auto"/>
              <w:right w:val="single" w:sz="4" w:space="0" w:color="auto"/>
            </w:tcBorders>
          </w:tcPr>
          <w:p w14:paraId="469086D2" w14:textId="625D7DAB" w:rsidR="00335A92" w:rsidRPr="008B700A" w:rsidRDefault="00335A92" w:rsidP="00335A92">
            <w:pPr>
              <w:autoSpaceDE w:val="0"/>
              <w:autoSpaceDN w:val="0"/>
              <w:spacing w:line="256" w:lineRule="auto"/>
              <w:rPr>
                <w:rFonts w:ascii="Tahoma" w:hAnsi="Tahoma" w:cs="Tahoma"/>
                <w:sz w:val="18"/>
                <w:szCs w:val="18"/>
                <w:lang w:val="fi-FI" w:eastAsia="lt-LT"/>
              </w:rPr>
            </w:pPr>
          </w:p>
        </w:tc>
        <w:tc>
          <w:tcPr>
            <w:tcW w:w="3260" w:type="dxa"/>
            <w:tcBorders>
              <w:top w:val="single" w:sz="4" w:space="0" w:color="auto"/>
              <w:left w:val="single" w:sz="4" w:space="0" w:color="auto"/>
              <w:bottom w:val="single" w:sz="4" w:space="0" w:color="auto"/>
              <w:right w:val="single" w:sz="4" w:space="0" w:color="auto"/>
            </w:tcBorders>
          </w:tcPr>
          <w:p w14:paraId="563AC084" w14:textId="77777777"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3190FE8E" w14:textId="26F87EDE" w:rsidR="00335A92" w:rsidRPr="008B700A" w:rsidRDefault="00335A92" w:rsidP="00335A92">
            <w:pPr>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335A92" w:rsidRPr="008B700A" w14:paraId="25486E48"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1940A104" w14:textId="77777777" w:rsidR="00335A92" w:rsidRPr="008B700A" w:rsidRDefault="00335A92" w:rsidP="00335A92">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5F6DD039" w14:textId="49E8B299" w:rsidR="00335A92" w:rsidRPr="008B700A" w:rsidRDefault="00335A92" w:rsidP="00335A92">
            <w:pPr>
              <w:jc w:val="left"/>
              <w:rPr>
                <w:rFonts w:ascii="Tahoma" w:hAnsi="Tahoma" w:cs="Tahoma"/>
                <w:b/>
                <w:bCs/>
                <w:sz w:val="18"/>
                <w:szCs w:val="18"/>
                <w:lang w:val="lt-LT"/>
              </w:rPr>
            </w:pPr>
            <w:r w:rsidRPr="008B700A">
              <w:rPr>
                <w:rFonts w:ascii="Tahoma" w:hAnsi="Tahoma" w:cs="Tahoma"/>
                <w:b/>
                <w:bCs/>
                <w:sz w:val="18"/>
                <w:szCs w:val="18"/>
                <w:lang w:val="lt-LT"/>
              </w:rPr>
              <w:t>Statybos darbų vadovas</w:t>
            </w:r>
          </w:p>
        </w:tc>
        <w:tc>
          <w:tcPr>
            <w:tcW w:w="3118" w:type="dxa"/>
            <w:tcBorders>
              <w:top w:val="single" w:sz="4" w:space="0" w:color="auto"/>
              <w:left w:val="single" w:sz="4" w:space="0" w:color="auto"/>
              <w:bottom w:val="single" w:sz="4" w:space="0" w:color="auto"/>
              <w:right w:val="single" w:sz="4" w:space="0" w:color="auto"/>
            </w:tcBorders>
          </w:tcPr>
          <w:p w14:paraId="12D9F646" w14:textId="37AB074D" w:rsidR="00335A92" w:rsidRPr="008B700A" w:rsidRDefault="00335A92" w:rsidP="00335A92">
            <w:pPr>
              <w:spacing w:line="256" w:lineRule="auto"/>
              <w:jc w:val="left"/>
              <w:rPr>
                <w:rFonts w:ascii="Tahoma" w:hAnsi="Tahoma" w:cs="Tahoma"/>
                <w:sz w:val="18"/>
                <w:szCs w:val="18"/>
                <w:lang w:val="fi-FI"/>
              </w:rPr>
            </w:pPr>
          </w:p>
        </w:tc>
        <w:tc>
          <w:tcPr>
            <w:tcW w:w="3260" w:type="dxa"/>
            <w:tcBorders>
              <w:top w:val="single" w:sz="4" w:space="0" w:color="auto"/>
              <w:left w:val="single" w:sz="4" w:space="0" w:color="auto"/>
              <w:bottom w:val="single" w:sz="4" w:space="0" w:color="auto"/>
              <w:right w:val="single" w:sz="4" w:space="0" w:color="auto"/>
            </w:tcBorders>
          </w:tcPr>
          <w:p w14:paraId="40BA3EC4" w14:textId="77777777"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4EC98D8E" w14:textId="4406B60D"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335A92" w:rsidRPr="008B700A" w14:paraId="05CA1510"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021AC862" w14:textId="77777777" w:rsidR="00335A92" w:rsidRPr="008B700A" w:rsidRDefault="00335A92" w:rsidP="00335A92">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58861A83" w14:textId="076FE7B3" w:rsidR="00335A92" w:rsidRPr="008B700A" w:rsidRDefault="00335A92" w:rsidP="00335A92">
            <w:pPr>
              <w:jc w:val="left"/>
              <w:rPr>
                <w:rFonts w:ascii="Tahoma" w:hAnsi="Tahoma" w:cs="Tahoma"/>
                <w:b/>
                <w:bCs/>
                <w:sz w:val="18"/>
                <w:szCs w:val="18"/>
                <w:lang w:val="lt-LT"/>
              </w:rPr>
            </w:pPr>
            <w:r w:rsidRPr="008B700A">
              <w:rPr>
                <w:rFonts w:ascii="Tahoma" w:hAnsi="Tahoma" w:cs="Tahoma"/>
                <w:b/>
                <w:bCs/>
                <w:sz w:val="18"/>
                <w:szCs w:val="18"/>
                <w:lang w:val="lt-LT"/>
              </w:rPr>
              <w:t>Specialiųjų statybos darbų vadovas</w:t>
            </w:r>
          </w:p>
        </w:tc>
        <w:tc>
          <w:tcPr>
            <w:tcW w:w="3118" w:type="dxa"/>
            <w:tcBorders>
              <w:top w:val="single" w:sz="4" w:space="0" w:color="auto"/>
              <w:left w:val="single" w:sz="4" w:space="0" w:color="auto"/>
              <w:bottom w:val="single" w:sz="4" w:space="0" w:color="auto"/>
              <w:right w:val="single" w:sz="4" w:space="0" w:color="auto"/>
            </w:tcBorders>
          </w:tcPr>
          <w:p w14:paraId="2BB3F54D" w14:textId="3743EA51" w:rsidR="00335A92" w:rsidRPr="008B700A" w:rsidRDefault="00335A92" w:rsidP="00335A92">
            <w:pPr>
              <w:spacing w:line="256" w:lineRule="auto"/>
              <w:jc w:val="left"/>
              <w:rPr>
                <w:rFonts w:ascii="Tahoma" w:hAnsi="Tahoma" w:cs="Tahoma"/>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0FC9E204" w14:textId="77777777"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31D6500F" w14:textId="4EF07A8F"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335A92" w:rsidRPr="008B700A" w14:paraId="6610BB03"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3809DA75" w14:textId="77777777" w:rsidR="00335A92" w:rsidRPr="008B700A" w:rsidRDefault="00335A92" w:rsidP="00335A92">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6D0E9DEE" w14:textId="7A9AA83F" w:rsidR="00335A92" w:rsidRPr="008B700A" w:rsidRDefault="00335A92" w:rsidP="00335A92">
            <w:pPr>
              <w:jc w:val="left"/>
              <w:rPr>
                <w:rFonts w:ascii="Tahoma" w:hAnsi="Tahoma" w:cs="Tahoma"/>
                <w:b/>
                <w:bCs/>
                <w:sz w:val="18"/>
                <w:szCs w:val="18"/>
                <w:lang w:val="lt-LT"/>
              </w:rPr>
            </w:pPr>
            <w:r w:rsidRPr="008B700A">
              <w:rPr>
                <w:rFonts w:ascii="Tahoma" w:hAnsi="Tahoma" w:cs="Tahoma"/>
                <w:b/>
                <w:bCs/>
                <w:sz w:val="18"/>
                <w:szCs w:val="18"/>
                <w:lang w:val="lt-LT"/>
              </w:rPr>
              <w:t xml:space="preserve">Specialiųjų statybos darbų vadovas </w:t>
            </w:r>
          </w:p>
        </w:tc>
        <w:tc>
          <w:tcPr>
            <w:tcW w:w="3118" w:type="dxa"/>
            <w:tcBorders>
              <w:top w:val="single" w:sz="4" w:space="0" w:color="auto"/>
              <w:left w:val="single" w:sz="4" w:space="0" w:color="auto"/>
              <w:bottom w:val="single" w:sz="4" w:space="0" w:color="auto"/>
              <w:right w:val="single" w:sz="4" w:space="0" w:color="auto"/>
            </w:tcBorders>
          </w:tcPr>
          <w:p w14:paraId="64CDB516" w14:textId="4380FAFE" w:rsidR="00335A92" w:rsidRPr="008B700A" w:rsidRDefault="00335A92" w:rsidP="00335A92">
            <w:pPr>
              <w:spacing w:line="256" w:lineRule="auto"/>
              <w:jc w:val="left"/>
              <w:rPr>
                <w:rFonts w:ascii="Tahoma" w:hAnsi="Tahoma" w:cs="Tahoma"/>
                <w:sz w:val="18"/>
                <w:szCs w:val="18"/>
                <w:lang w:val="fi-FI"/>
              </w:rPr>
            </w:pPr>
          </w:p>
        </w:tc>
        <w:tc>
          <w:tcPr>
            <w:tcW w:w="3260" w:type="dxa"/>
            <w:tcBorders>
              <w:top w:val="single" w:sz="4" w:space="0" w:color="auto"/>
              <w:left w:val="single" w:sz="4" w:space="0" w:color="auto"/>
              <w:bottom w:val="single" w:sz="4" w:space="0" w:color="auto"/>
              <w:right w:val="single" w:sz="4" w:space="0" w:color="auto"/>
            </w:tcBorders>
          </w:tcPr>
          <w:p w14:paraId="6834EAB7" w14:textId="77777777"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42A8F01F" w14:textId="511D6E28"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335A92" w:rsidRPr="008B700A" w14:paraId="071EFF00"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780C6FFC" w14:textId="1AC8E87B" w:rsidR="00335A92" w:rsidRPr="008B700A" w:rsidRDefault="00335A92" w:rsidP="00335A92">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103105F8" w14:textId="7117E226" w:rsidR="00335A92" w:rsidRPr="008B700A" w:rsidRDefault="00335A92" w:rsidP="00335A92">
            <w:pPr>
              <w:jc w:val="left"/>
              <w:rPr>
                <w:rFonts w:ascii="Tahoma" w:hAnsi="Tahoma" w:cs="Tahoma"/>
                <w:sz w:val="18"/>
                <w:szCs w:val="18"/>
                <w:lang w:val="lt-LT"/>
              </w:rPr>
            </w:pPr>
            <w:r w:rsidRPr="008B700A">
              <w:rPr>
                <w:rFonts w:ascii="Tahoma" w:hAnsi="Tahoma" w:cs="Tahoma"/>
                <w:b/>
                <w:bCs/>
                <w:sz w:val="18"/>
                <w:szCs w:val="18"/>
                <w:lang w:val="lt-LT"/>
              </w:rPr>
              <w:t>Specialiųjų statybos darbų vadovas</w:t>
            </w:r>
          </w:p>
        </w:tc>
        <w:tc>
          <w:tcPr>
            <w:tcW w:w="3118" w:type="dxa"/>
            <w:tcBorders>
              <w:top w:val="single" w:sz="4" w:space="0" w:color="auto"/>
              <w:left w:val="single" w:sz="4" w:space="0" w:color="auto"/>
              <w:bottom w:val="single" w:sz="4" w:space="0" w:color="auto"/>
              <w:right w:val="single" w:sz="4" w:space="0" w:color="auto"/>
            </w:tcBorders>
          </w:tcPr>
          <w:p w14:paraId="43BEB277" w14:textId="4629CCBF" w:rsidR="00335A92" w:rsidRPr="008B700A" w:rsidRDefault="00335A92" w:rsidP="0087756A">
            <w:pPr>
              <w:spacing w:line="256" w:lineRule="auto"/>
              <w:jc w:val="left"/>
              <w:rPr>
                <w:rFonts w:ascii="Tahoma" w:hAnsi="Tahoma" w:cs="Tahoma"/>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415FEBC0" w14:textId="77777777" w:rsidR="00335A92" w:rsidRPr="008B700A" w:rsidRDefault="00335A92" w:rsidP="00335A92">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05D161FD" w14:textId="17E3F0BB" w:rsidR="00335A92" w:rsidRPr="008B700A" w:rsidRDefault="00335A92" w:rsidP="00335A92">
            <w:pPr>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934B40" w:rsidRPr="008B700A" w14:paraId="15AD0A45"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788FB5B5" w14:textId="77777777" w:rsidR="00934B40" w:rsidRPr="008B700A" w:rsidRDefault="00934B40" w:rsidP="00934B40">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3C3AC89B" w14:textId="4CAE2713" w:rsidR="00934B40" w:rsidRPr="008B700A" w:rsidRDefault="009F1615" w:rsidP="00934B40">
            <w:pPr>
              <w:jc w:val="left"/>
              <w:rPr>
                <w:rFonts w:ascii="Tahoma" w:hAnsi="Tahoma" w:cs="Tahoma"/>
                <w:b/>
                <w:bCs/>
                <w:sz w:val="18"/>
                <w:szCs w:val="18"/>
                <w:lang w:val="lt-LT"/>
              </w:rPr>
            </w:pPr>
            <w:r w:rsidRPr="008B700A">
              <w:rPr>
                <w:rFonts w:ascii="Tahoma" w:hAnsi="Tahoma" w:cs="Tahoma"/>
                <w:b/>
                <w:bCs/>
                <w:sz w:val="18"/>
                <w:szCs w:val="18"/>
                <w:lang w:val="lt-LT"/>
              </w:rPr>
              <w:t>Statybos darbų vadovo padėjėjas</w:t>
            </w:r>
          </w:p>
        </w:tc>
        <w:tc>
          <w:tcPr>
            <w:tcW w:w="3118" w:type="dxa"/>
            <w:tcBorders>
              <w:top w:val="single" w:sz="4" w:space="0" w:color="auto"/>
              <w:left w:val="single" w:sz="4" w:space="0" w:color="auto"/>
              <w:bottom w:val="single" w:sz="4" w:space="0" w:color="auto"/>
              <w:right w:val="single" w:sz="4" w:space="0" w:color="auto"/>
            </w:tcBorders>
          </w:tcPr>
          <w:p w14:paraId="362EB2DC" w14:textId="4CA0997F" w:rsidR="00934B40" w:rsidRPr="008B700A" w:rsidRDefault="00934B40" w:rsidP="00934B40">
            <w:pPr>
              <w:spacing w:line="256" w:lineRule="auto"/>
              <w:jc w:val="left"/>
              <w:rPr>
                <w:rFonts w:ascii="Tahoma" w:hAnsi="Tahoma" w:cs="Tahoma"/>
                <w:sz w:val="18"/>
                <w:szCs w:val="18"/>
              </w:rPr>
            </w:pPr>
          </w:p>
        </w:tc>
        <w:tc>
          <w:tcPr>
            <w:tcW w:w="3260" w:type="dxa"/>
            <w:tcBorders>
              <w:top w:val="single" w:sz="4" w:space="0" w:color="auto"/>
              <w:left w:val="single" w:sz="4" w:space="0" w:color="auto"/>
              <w:bottom w:val="single" w:sz="4" w:space="0" w:color="auto"/>
              <w:right w:val="single" w:sz="4" w:space="0" w:color="auto"/>
            </w:tcBorders>
          </w:tcPr>
          <w:p w14:paraId="3A43E84A" w14:textId="77777777" w:rsidR="00934B40" w:rsidRPr="008B700A" w:rsidRDefault="00934B40" w:rsidP="00934B40">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38905F84" w14:textId="5A333BDE" w:rsidR="00934B40" w:rsidRPr="008B700A" w:rsidRDefault="00934B40" w:rsidP="00934B40">
            <w:pPr>
              <w:spacing w:line="256" w:lineRule="auto"/>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r w:rsidR="00934B40" w:rsidRPr="008B700A" w14:paraId="324BCAB0" w14:textId="77777777" w:rsidTr="00E32CDC">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4B295115" w14:textId="1AF21F66" w:rsidR="00934B40" w:rsidRPr="008B700A" w:rsidRDefault="00934B40" w:rsidP="00934B40">
            <w:pPr>
              <w:pStyle w:val="Sraopastraipa"/>
              <w:numPr>
                <w:ilvl w:val="0"/>
                <w:numId w:val="3"/>
              </w:numPr>
              <w:jc w:val="center"/>
              <w:rPr>
                <w:rFonts w:ascii="Tahoma" w:hAnsi="Tahoma" w:cs="Tahoma"/>
                <w:sz w:val="18"/>
                <w:szCs w:val="18"/>
                <w:lang w:val="lt-LT"/>
              </w:rPr>
            </w:pPr>
          </w:p>
        </w:tc>
        <w:tc>
          <w:tcPr>
            <w:tcW w:w="3362" w:type="dxa"/>
            <w:tcBorders>
              <w:top w:val="single" w:sz="4" w:space="0" w:color="auto"/>
              <w:left w:val="single" w:sz="4" w:space="0" w:color="auto"/>
              <w:bottom w:val="single" w:sz="4" w:space="0" w:color="auto"/>
              <w:right w:val="single" w:sz="4" w:space="0" w:color="auto"/>
            </w:tcBorders>
          </w:tcPr>
          <w:p w14:paraId="0B18614F" w14:textId="1E96F074" w:rsidR="00934B40" w:rsidRPr="008B700A" w:rsidRDefault="00934B40" w:rsidP="00934B40">
            <w:pPr>
              <w:jc w:val="left"/>
              <w:rPr>
                <w:rFonts w:ascii="Tahoma" w:hAnsi="Tahoma" w:cs="Tahoma"/>
                <w:sz w:val="18"/>
                <w:szCs w:val="18"/>
                <w:lang w:val="lt-LT"/>
              </w:rPr>
            </w:pPr>
            <w:r w:rsidRPr="008B700A">
              <w:rPr>
                <w:rFonts w:ascii="Tahoma" w:hAnsi="Tahoma" w:cs="Tahoma"/>
                <w:b/>
                <w:bCs/>
                <w:sz w:val="18"/>
                <w:szCs w:val="18"/>
                <w:lang w:val="lt-LT"/>
              </w:rPr>
              <w:t>Statybos darbų vadovo padėjėjas</w:t>
            </w:r>
          </w:p>
        </w:tc>
        <w:tc>
          <w:tcPr>
            <w:tcW w:w="3118" w:type="dxa"/>
            <w:tcBorders>
              <w:top w:val="single" w:sz="4" w:space="0" w:color="auto"/>
              <w:left w:val="single" w:sz="4" w:space="0" w:color="auto"/>
              <w:bottom w:val="single" w:sz="4" w:space="0" w:color="auto"/>
              <w:right w:val="single" w:sz="4" w:space="0" w:color="auto"/>
            </w:tcBorders>
          </w:tcPr>
          <w:p w14:paraId="4159BC89" w14:textId="482D7C5F" w:rsidR="00934B40" w:rsidRPr="008B700A" w:rsidRDefault="00934B40" w:rsidP="00934B40">
            <w:pPr>
              <w:jc w:val="left"/>
              <w:rPr>
                <w:rFonts w:ascii="Tahoma" w:hAnsi="Tahoma" w:cs="Tahoma"/>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7A213141" w14:textId="77777777" w:rsidR="00934B40" w:rsidRPr="008B700A" w:rsidRDefault="00934B40" w:rsidP="00934B40">
            <w:pPr>
              <w:spacing w:line="256" w:lineRule="auto"/>
              <w:jc w:val="left"/>
              <w:rPr>
                <w:rFonts w:ascii="Tahoma" w:hAnsi="Tahoma" w:cs="Tahoma"/>
                <w:sz w:val="18"/>
                <w:szCs w:val="18"/>
                <w:lang w:val="lt-LT"/>
              </w:rPr>
            </w:pPr>
            <w:r w:rsidRPr="008B700A">
              <w:rPr>
                <w:rFonts w:ascii="Tahoma" w:hAnsi="Tahoma" w:cs="Tahoma"/>
                <w:sz w:val="18"/>
                <w:szCs w:val="18"/>
                <w:lang w:val="lt-LT"/>
              </w:rPr>
              <w:t>UAB „Alvora“</w:t>
            </w:r>
          </w:p>
          <w:p w14:paraId="2AA2AD63" w14:textId="666B7828" w:rsidR="00934B40" w:rsidRPr="008B700A" w:rsidRDefault="00934B40" w:rsidP="00934B40">
            <w:pPr>
              <w:jc w:val="left"/>
              <w:rPr>
                <w:rFonts w:ascii="Tahoma" w:hAnsi="Tahoma" w:cs="Tahoma"/>
                <w:sz w:val="18"/>
                <w:szCs w:val="18"/>
                <w:lang w:val="lt-LT"/>
              </w:rPr>
            </w:pPr>
            <w:r w:rsidRPr="008B700A">
              <w:rPr>
                <w:rFonts w:ascii="Tahoma" w:hAnsi="Tahoma" w:cs="Tahoma"/>
                <w:sz w:val="18"/>
                <w:szCs w:val="18"/>
                <w:lang w:val="lt-LT"/>
              </w:rPr>
              <w:t xml:space="preserve">Įm. kodas </w:t>
            </w:r>
            <w:r w:rsidRPr="008B700A">
              <w:rPr>
                <w:rFonts w:ascii="Tahoma" w:hAnsi="Tahoma" w:cs="Tahoma"/>
                <w:color w:val="414042"/>
                <w:sz w:val="18"/>
                <w:szCs w:val="18"/>
              </w:rPr>
              <w:t>122049143</w:t>
            </w: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BB43" w14:textId="77777777" w:rsidR="00685268" w:rsidRDefault="00685268" w:rsidP="009A684C">
      <w:r>
        <w:separator/>
      </w:r>
    </w:p>
    <w:p w14:paraId="183ED67A" w14:textId="77777777" w:rsidR="00685268" w:rsidRDefault="00685268"/>
  </w:endnote>
  <w:endnote w:type="continuationSeparator" w:id="0">
    <w:p w14:paraId="2A7D852F" w14:textId="77777777" w:rsidR="00685268" w:rsidRDefault="00685268" w:rsidP="009A684C">
      <w:r>
        <w:continuationSeparator/>
      </w:r>
    </w:p>
    <w:p w14:paraId="2C6B146C" w14:textId="77777777" w:rsidR="00685268" w:rsidRDefault="00685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EF11F" w14:textId="77777777" w:rsidR="00685268" w:rsidRDefault="00685268" w:rsidP="009A684C">
      <w:r>
        <w:separator/>
      </w:r>
    </w:p>
    <w:p w14:paraId="54C50BF3" w14:textId="77777777" w:rsidR="00685268" w:rsidRDefault="00685268"/>
  </w:footnote>
  <w:footnote w:type="continuationSeparator" w:id="0">
    <w:p w14:paraId="0B536B83" w14:textId="77777777" w:rsidR="00685268" w:rsidRDefault="00685268" w:rsidP="009A684C">
      <w:r>
        <w:continuationSeparator/>
      </w:r>
    </w:p>
    <w:p w14:paraId="1A5027B4" w14:textId="77777777" w:rsidR="00685268" w:rsidRDefault="00685268"/>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1042838">
    <w:abstractNumId w:val="1"/>
  </w:num>
  <w:num w:numId="2" w16cid:durableId="355280209">
    <w:abstractNumId w:val="3"/>
  </w:num>
  <w:num w:numId="3" w16cid:durableId="2077967022">
    <w:abstractNumId w:val="0"/>
  </w:num>
  <w:num w:numId="4" w16cid:durableId="1710373979">
    <w:abstractNumId w:val="4"/>
  </w:num>
  <w:num w:numId="5" w16cid:durableId="1021592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74E1D"/>
    <w:rsid w:val="001A6239"/>
    <w:rsid w:val="001B71B1"/>
    <w:rsid w:val="001E7E50"/>
    <w:rsid w:val="001F478C"/>
    <w:rsid w:val="00200A50"/>
    <w:rsid w:val="00214E16"/>
    <w:rsid w:val="00215573"/>
    <w:rsid w:val="00216B3D"/>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35A92"/>
    <w:rsid w:val="00346ADD"/>
    <w:rsid w:val="00353B73"/>
    <w:rsid w:val="003551D0"/>
    <w:rsid w:val="00363358"/>
    <w:rsid w:val="00384FE3"/>
    <w:rsid w:val="00392734"/>
    <w:rsid w:val="00392B6E"/>
    <w:rsid w:val="00394DDF"/>
    <w:rsid w:val="003955CD"/>
    <w:rsid w:val="00395CFE"/>
    <w:rsid w:val="003A4C1E"/>
    <w:rsid w:val="003B618A"/>
    <w:rsid w:val="003C640A"/>
    <w:rsid w:val="003D02CA"/>
    <w:rsid w:val="003E6E69"/>
    <w:rsid w:val="003F2974"/>
    <w:rsid w:val="003F4073"/>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51B5B"/>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85268"/>
    <w:rsid w:val="0069113B"/>
    <w:rsid w:val="006956DE"/>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7756A"/>
    <w:rsid w:val="00895338"/>
    <w:rsid w:val="00897AE5"/>
    <w:rsid w:val="008A5773"/>
    <w:rsid w:val="008B700A"/>
    <w:rsid w:val="008C100B"/>
    <w:rsid w:val="008C77CC"/>
    <w:rsid w:val="008F0A61"/>
    <w:rsid w:val="008F6EEE"/>
    <w:rsid w:val="008F71B3"/>
    <w:rsid w:val="00926138"/>
    <w:rsid w:val="009272C1"/>
    <w:rsid w:val="00934B40"/>
    <w:rsid w:val="00974D5A"/>
    <w:rsid w:val="00982449"/>
    <w:rsid w:val="00990BE6"/>
    <w:rsid w:val="00996084"/>
    <w:rsid w:val="0099738F"/>
    <w:rsid w:val="009A5182"/>
    <w:rsid w:val="009A684C"/>
    <w:rsid w:val="009C1ECE"/>
    <w:rsid w:val="009E19F5"/>
    <w:rsid w:val="009F161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00B6"/>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531"/>
    <w:rsid w:val="00D82ED4"/>
    <w:rsid w:val="00D843C5"/>
    <w:rsid w:val="00D90C59"/>
    <w:rsid w:val="00D920CF"/>
    <w:rsid w:val="00DA0D0E"/>
    <w:rsid w:val="00DB6B9B"/>
    <w:rsid w:val="00DD35F9"/>
    <w:rsid w:val="00DD53E5"/>
    <w:rsid w:val="00DE47B8"/>
    <w:rsid w:val="00E0073C"/>
    <w:rsid w:val="00E06A6C"/>
    <w:rsid w:val="00E112B9"/>
    <w:rsid w:val="00E32CDC"/>
    <w:rsid w:val="00E34D86"/>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 w:type="character" w:styleId="Hipersaitas">
    <w:name w:val="Hyperlink"/>
    <w:basedOn w:val="Numatytasispastraiposriftas"/>
    <w:uiPriority w:val="99"/>
    <w:unhideWhenUsed/>
    <w:rsid w:val="00551B5B"/>
    <w:rPr>
      <w:color w:val="0563C1"/>
      <w:u w:val="single"/>
    </w:rPr>
  </w:style>
  <w:style w:type="character" w:styleId="Neapdorotaspaminjimas">
    <w:name w:val="Unresolved Mention"/>
    <w:basedOn w:val="Numatytasispastraiposriftas"/>
    <w:uiPriority w:val="99"/>
    <w:semiHidden/>
    <w:unhideWhenUsed/>
    <w:rsid w:val="00B000B6"/>
    <w:rPr>
      <w:color w:val="605E5C"/>
      <w:shd w:val="clear" w:color="auto" w:fill="E1DFDD"/>
    </w:rPr>
  </w:style>
  <w:style w:type="paragraph" w:customStyle="1" w:styleId="elementtoproof">
    <w:name w:val="elementtoproof"/>
    <w:basedOn w:val="prastasis"/>
    <w:rsid w:val="00934B40"/>
    <w:pPr>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5993">
      <w:bodyDiv w:val="1"/>
      <w:marLeft w:val="0"/>
      <w:marRight w:val="0"/>
      <w:marTop w:val="0"/>
      <w:marBottom w:val="0"/>
      <w:divBdr>
        <w:top w:val="none" w:sz="0" w:space="0" w:color="auto"/>
        <w:left w:val="none" w:sz="0" w:space="0" w:color="auto"/>
        <w:bottom w:val="none" w:sz="0" w:space="0" w:color="auto"/>
        <w:right w:val="none" w:sz="0" w:space="0" w:color="auto"/>
      </w:divBdr>
    </w:div>
    <w:div w:id="696778958">
      <w:bodyDiv w:val="1"/>
      <w:marLeft w:val="0"/>
      <w:marRight w:val="0"/>
      <w:marTop w:val="0"/>
      <w:marBottom w:val="0"/>
      <w:divBdr>
        <w:top w:val="none" w:sz="0" w:space="0" w:color="auto"/>
        <w:left w:val="none" w:sz="0" w:space="0" w:color="auto"/>
        <w:bottom w:val="none" w:sz="0" w:space="0" w:color="auto"/>
        <w:right w:val="none" w:sz="0" w:space="0" w:color="auto"/>
      </w:divBdr>
    </w:div>
    <w:div w:id="1107120701">
      <w:bodyDiv w:val="1"/>
      <w:marLeft w:val="0"/>
      <w:marRight w:val="0"/>
      <w:marTop w:val="0"/>
      <w:marBottom w:val="0"/>
      <w:divBdr>
        <w:top w:val="none" w:sz="0" w:space="0" w:color="auto"/>
        <w:left w:val="none" w:sz="0" w:space="0" w:color="auto"/>
        <w:bottom w:val="none" w:sz="0" w:space="0" w:color="auto"/>
        <w:right w:val="none" w:sz="0" w:space="0" w:color="auto"/>
      </w:divBdr>
    </w:div>
    <w:div w:id="1451775773">
      <w:bodyDiv w:val="1"/>
      <w:marLeft w:val="0"/>
      <w:marRight w:val="0"/>
      <w:marTop w:val="0"/>
      <w:marBottom w:val="0"/>
      <w:divBdr>
        <w:top w:val="none" w:sz="0" w:space="0" w:color="auto"/>
        <w:left w:val="none" w:sz="0" w:space="0" w:color="auto"/>
        <w:bottom w:val="none" w:sz="0" w:space="0" w:color="auto"/>
        <w:right w:val="none" w:sz="0" w:space="0" w:color="auto"/>
      </w:divBdr>
    </w:div>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534002712">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 w:id="20168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596</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Lina Rutkauskiene</cp:lastModifiedBy>
  <cp:revision>25</cp:revision>
  <dcterms:created xsi:type="dcterms:W3CDTF">2024-03-10T14:25:00Z</dcterms:created>
  <dcterms:modified xsi:type="dcterms:W3CDTF">2025-06-13T07:00:00Z</dcterms:modified>
</cp:coreProperties>
</file>