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B1" w:rsidRDefault="00AD5BB1" w:rsidP="00AD5BB1">
      <w:pPr>
        <w:pStyle w:val="Heading1"/>
      </w:pPr>
      <w:r>
        <w:rPr>
          <w:i/>
        </w:rPr>
        <w:t>Vitros</w:t>
      </w:r>
      <w:r>
        <w:t xml:space="preserve"> LIPA reagentai</w:t>
      </w:r>
    </w:p>
    <w:p w:rsidR="00AD5BB1" w:rsidRDefault="00AD5BB1" w:rsidP="00AD5BB1">
      <w:pPr>
        <w:rPr>
          <w:b/>
          <w:sz w:val="32"/>
        </w:rPr>
      </w:pPr>
    </w:p>
    <w:p w:rsidR="00AD5BB1" w:rsidRDefault="00AD5BB1" w:rsidP="00AD5BB1">
      <w:pPr>
        <w:pStyle w:val="Heading2"/>
      </w:pPr>
      <w:r>
        <w:t>Lipazės analizė</w:t>
      </w:r>
    </w:p>
    <w:p w:rsidR="00AD5BB1" w:rsidRDefault="00AD5BB1" w:rsidP="00AD5BB1">
      <w:pPr>
        <w:rPr>
          <w:b/>
          <w:sz w:val="20"/>
        </w:rPr>
      </w:pPr>
    </w:p>
    <w:p w:rsidR="00AD5BB1" w:rsidRDefault="00AD5BB1" w:rsidP="00AD5BB1">
      <w:pPr>
        <w:pStyle w:val="BodyTextIndent2"/>
        <w:rPr>
          <w:sz w:val="20"/>
        </w:rPr>
      </w:pPr>
      <w:r>
        <w:rPr>
          <w:sz w:val="20"/>
        </w:rPr>
        <w:t>Tai sausos chemijos daugiasluoksnis reagentas lipazės nustatymui serume arba plazmoje. Šio parametro nustatymo pagrindas – eilė reakcijų, kurių rezultatas yra spalvinio komplekso suformavimas.</w:t>
      </w:r>
    </w:p>
    <w:p w:rsidR="00AD5BB1" w:rsidRDefault="00AD5BB1" w:rsidP="00AD5BB1">
      <w:pPr>
        <w:rPr>
          <w:sz w:val="20"/>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127"/>
        <w:gridCol w:w="7512"/>
      </w:tblGrid>
      <w:tr w:rsidR="00AD5BB1" w:rsidTr="00026981">
        <w:tblPrEx>
          <w:tblCellMar>
            <w:top w:w="0" w:type="dxa"/>
            <w:bottom w:w="0" w:type="dxa"/>
          </w:tblCellMar>
        </w:tblPrEx>
        <w:tc>
          <w:tcPr>
            <w:tcW w:w="2127" w:type="dxa"/>
          </w:tcPr>
          <w:p w:rsidR="00AD5BB1" w:rsidRDefault="00AD5BB1" w:rsidP="00026981">
            <w:pPr>
              <w:rPr>
                <w:sz w:val="20"/>
              </w:rPr>
            </w:pPr>
            <w:r>
              <w:rPr>
                <w:sz w:val="20"/>
              </w:rPr>
              <w:t>Reakcijos principas:</w:t>
            </w:r>
          </w:p>
        </w:tc>
        <w:tc>
          <w:tcPr>
            <w:tcW w:w="7512" w:type="dxa"/>
          </w:tcPr>
          <w:p w:rsidR="00AD5BB1" w:rsidRDefault="00AD5BB1" w:rsidP="00026981">
            <w:pPr>
              <w:rPr>
                <w:sz w:val="20"/>
              </w:rPr>
            </w:pPr>
            <w:r>
              <w:rPr>
                <w:sz w:val="20"/>
              </w:rPr>
              <w:t xml:space="preserve">                                                   Lipazė, kolipazė</w:t>
            </w:r>
          </w:p>
          <w:p w:rsidR="00AD5BB1" w:rsidRDefault="00AD5BB1" w:rsidP="00026981">
            <w:pPr>
              <w:pStyle w:val="BodyText2"/>
              <w:jc w:val="left"/>
            </w:pPr>
            <w:r>
              <w:t xml:space="preserve">1-Oleoil-2,3-Diacetilglicerolis </w:t>
            </w:r>
            <w:r>
              <w:sym w:font="Symbol" w:char="F0BE"/>
            </w:r>
            <w:r>
              <w:sym w:font="Symbol" w:char="F0BE"/>
            </w:r>
            <w:r>
              <w:sym w:font="Symbol" w:char="F0BE"/>
            </w:r>
            <w:r>
              <w:sym w:font="Symbol" w:char="F0BE"/>
            </w:r>
            <w:r>
              <w:sym w:font="Symbol" w:char="F0BE"/>
            </w:r>
            <w:r>
              <w:sym w:font="Symbol" w:char="F0BE"/>
            </w:r>
            <w:r>
              <w:sym w:font="Symbol" w:char="F0BE"/>
            </w:r>
            <w:r>
              <w:sym w:font="Symbol" w:char="F0AE"/>
            </w:r>
            <w:r>
              <w:t xml:space="preserve"> 2,3-Diacetilglicerolis – Oleino rūgštis</w:t>
            </w:r>
          </w:p>
          <w:p w:rsidR="00AD5BB1" w:rsidRDefault="00AD5BB1" w:rsidP="00026981">
            <w:pPr>
              <w:rPr>
                <w:sz w:val="20"/>
              </w:rPr>
            </w:pPr>
            <w:r>
              <w:rPr>
                <w:sz w:val="20"/>
              </w:rPr>
              <w:t xml:space="preserve">                                                                 pH 8.4</w:t>
            </w:r>
          </w:p>
          <w:p w:rsidR="00AD5BB1" w:rsidRDefault="00AD5BB1" w:rsidP="00026981">
            <w:pPr>
              <w:rPr>
                <w:sz w:val="20"/>
              </w:rPr>
            </w:pPr>
            <w:r>
              <w:rPr>
                <w:sz w:val="20"/>
              </w:rPr>
              <w:t xml:space="preserve">                                                   Diacetinazė</w:t>
            </w:r>
          </w:p>
          <w:p w:rsidR="00AD5BB1" w:rsidRDefault="00AD5BB1" w:rsidP="00026981">
            <w:pPr>
              <w:rPr>
                <w:sz w:val="20"/>
              </w:rPr>
            </w:pPr>
            <w:r>
              <w:rPr>
                <w:sz w:val="20"/>
              </w:rPr>
              <w:t xml:space="preserve">2,3-Diacetilglicerolis </w:t>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AE"/>
            </w:r>
            <w:r>
              <w:rPr>
                <w:sz w:val="20"/>
              </w:rPr>
              <w:t xml:space="preserve"> Glicerolis + Acto rūgštis</w:t>
            </w:r>
          </w:p>
          <w:p w:rsidR="00AD5BB1" w:rsidRDefault="00AD5BB1" w:rsidP="00026981">
            <w:pPr>
              <w:rPr>
                <w:sz w:val="20"/>
              </w:rPr>
            </w:pPr>
            <w:r>
              <w:rPr>
                <w:sz w:val="20"/>
              </w:rPr>
              <w:t xml:space="preserve">                                  Glicerol kinazė</w:t>
            </w:r>
          </w:p>
          <w:p w:rsidR="00AD5BB1" w:rsidRDefault="00AD5BB1" w:rsidP="00026981">
            <w:pPr>
              <w:rPr>
                <w:sz w:val="20"/>
              </w:rPr>
            </w:pPr>
            <w:r>
              <w:rPr>
                <w:sz w:val="20"/>
              </w:rPr>
              <w:t xml:space="preserve">Glicerolis + ATP </w:t>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AE"/>
            </w:r>
            <w:r>
              <w:rPr>
                <w:sz w:val="20"/>
              </w:rPr>
              <w:t xml:space="preserve"> L-</w:t>
            </w:r>
            <w:r>
              <w:rPr>
                <w:sz w:val="20"/>
              </w:rPr>
              <w:sym w:font="Symbol" w:char="F061"/>
            </w:r>
            <w:r>
              <w:rPr>
                <w:sz w:val="20"/>
              </w:rPr>
              <w:t>-Glicerofosfatas + ADP</w:t>
            </w:r>
          </w:p>
          <w:p w:rsidR="00AD5BB1" w:rsidRDefault="00AD5BB1" w:rsidP="00026981">
            <w:pPr>
              <w:rPr>
                <w:sz w:val="20"/>
              </w:rPr>
            </w:pPr>
            <w:r>
              <w:rPr>
                <w:sz w:val="20"/>
              </w:rPr>
              <w:t xml:space="preserve">                                       MgCl</w:t>
            </w:r>
            <w:r>
              <w:rPr>
                <w:sz w:val="20"/>
                <w:vertAlign w:val="subscript"/>
              </w:rPr>
              <w:t>2</w:t>
            </w:r>
          </w:p>
          <w:p w:rsidR="00AD5BB1" w:rsidRDefault="00AD5BB1" w:rsidP="00026981">
            <w:pPr>
              <w:rPr>
                <w:sz w:val="20"/>
              </w:rPr>
            </w:pPr>
            <w:r>
              <w:rPr>
                <w:sz w:val="20"/>
              </w:rPr>
              <w:t xml:space="preserve">                                                 L-</w:t>
            </w:r>
            <w:r>
              <w:rPr>
                <w:sz w:val="20"/>
              </w:rPr>
              <w:sym w:font="Symbol" w:char="F061"/>
            </w:r>
            <w:r>
              <w:rPr>
                <w:sz w:val="20"/>
              </w:rPr>
              <w:t>-Glicerofosfato oksidazė</w:t>
            </w:r>
          </w:p>
          <w:p w:rsidR="00AD5BB1" w:rsidRDefault="00AD5BB1" w:rsidP="00026981">
            <w:pPr>
              <w:rPr>
                <w:sz w:val="20"/>
              </w:rPr>
            </w:pPr>
            <w:r>
              <w:rPr>
                <w:sz w:val="20"/>
              </w:rPr>
              <w:t>L-</w:t>
            </w:r>
            <w:r>
              <w:rPr>
                <w:sz w:val="20"/>
              </w:rPr>
              <w:sym w:font="Symbol" w:char="F061"/>
            </w:r>
            <w:r>
              <w:rPr>
                <w:sz w:val="20"/>
              </w:rPr>
              <w:t>-Glicerofosfatas + O</w:t>
            </w:r>
            <w:r>
              <w:rPr>
                <w:sz w:val="20"/>
                <w:vertAlign w:val="subscript"/>
              </w:rPr>
              <w:t>2</w:t>
            </w:r>
            <w:r>
              <w:rPr>
                <w:sz w:val="20"/>
              </w:rPr>
              <w:t xml:space="preserve"> </w:t>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AE"/>
            </w:r>
            <w:r>
              <w:rPr>
                <w:sz w:val="20"/>
              </w:rPr>
              <w:t>dihidroacetono fosfatas + H</w:t>
            </w:r>
            <w:r>
              <w:rPr>
                <w:sz w:val="20"/>
                <w:vertAlign w:val="subscript"/>
              </w:rPr>
              <w:t>2</w:t>
            </w:r>
            <w:r>
              <w:rPr>
                <w:sz w:val="20"/>
              </w:rPr>
              <w:t>O</w:t>
            </w:r>
            <w:r>
              <w:rPr>
                <w:sz w:val="20"/>
                <w:vertAlign w:val="subscript"/>
              </w:rPr>
              <w:t>2</w:t>
            </w:r>
          </w:p>
          <w:p w:rsidR="00AD5BB1" w:rsidRDefault="00AD5BB1" w:rsidP="00026981">
            <w:pPr>
              <w:rPr>
                <w:sz w:val="20"/>
              </w:rPr>
            </w:pPr>
            <w:r>
              <w:rPr>
                <w:sz w:val="20"/>
              </w:rPr>
              <w:t xml:space="preserve">                                       Peroksidazė</w:t>
            </w:r>
          </w:p>
          <w:p w:rsidR="00AD5BB1" w:rsidRDefault="00AD5BB1" w:rsidP="00026981">
            <w:pPr>
              <w:rPr>
                <w:sz w:val="20"/>
              </w:rPr>
            </w:pPr>
            <w:r>
              <w:rPr>
                <w:sz w:val="20"/>
              </w:rPr>
              <w:t>H</w:t>
            </w:r>
            <w:r>
              <w:rPr>
                <w:sz w:val="20"/>
                <w:vertAlign w:val="subscript"/>
              </w:rPr>
              <w:t>2</w:t>
            </w:r>
            <w:r>
              <w:rPr>
                <w:sz w:val="20"/>
              </w:rPr>
              <w:t>O</w:t>
            </w:r>
            <w:r>
              <w:rPr>
                <w:sz w:val="20"/>
                <w:vertAlign w:val="subscript"/>
              </w:rPr>
              <w:t>2</w:t>
            </w:r>
            <w:r>
              <w:rPr>
                <w:sz w:val="20"/>
              </w:rPr>
              <w:t xml:space="preserve"> + Leuko dažai </w:t>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BE"/>
            </w:r>
            <w:r>
              <w:rPr>
                <w:sz w:val="20"/>
              </w:rPr>
              <w:sym w:font="Symbol" w:char="F0AE"/>
            </w:r>
            <w:r>
              <w:rPr>
                <w:sz w:val="20"/>
              </w:rPr>
              <w:t xml:space="preserve"> Dažai + 2H</w:t>
            </w:r>
            <w:r>
              <w:rPr>
                <w:sz w:val="20"/>
                <w:vertAlign w:val="subscript"/>
              </w:rPr>
              <w:t>2</w:t>
            </w:r>
            <w:r>
              <w:rPr>
                <w:sz w:val="20"/>
              </w:rPr>
              <w:t>O</w:t>
            </w:r>
          </w:p>
        </w:tc>
      </w:tr>
    </w:tbl>
    <w:p w:rsidR="00AD5BB1" w:rsidRDefault="00AD5BB1" w:rsidP="00AD5BB1">
      <w:pPr>
        <w:rPr>
          <w:sz w:val="20"/>
        </w:rPr>
      </w:pPr>
    </w:p>
    <w:p w:rsidR="00AD5BB1" w:rsidRDefault="00AD5BB1" w:rsidP="00AD5BB1">
      <w:pPr>
        <w:rPr>
          <w:sz w:val="20"/>
        </w:rPr>
      </w:pPr>
      <w:r>
        <w:rPr>
          <w:b/>
          <w:sz w:val="20"/>
        </w:rPr>
        <w:t xml:space="preserve">Klinikinė reikšmė: </w:t>
      </w:r>
      <w:r>
        <w:rPr>
          <w:sz w:val="20"/>
        </w:rPr>
        <w:t>Lipazė yra virškinimo fermentas gaminamas kasoje. Jos fiziologinė paskirtis yra trigliceridų ilgų grandžių hidrolizė plonojoje žarnoje. Serume lipazė greitai padidėja pacientams su ūmiu ar pasikartojančiu pankreatitu, kasos abscesu ar pseudocista, kasos trauma, kasos vėžiu, bendra tulžies kanalų kliūtimi ir pacientams, perdozavus toksiškus kasai vaistus. Taip pat padidėja daugeliu uždegiminių būsenų pilvo ertmėje, dėl biliarinio trakto ligų, dėl pilvo pūlinio ir inkstų nepakankamumo. Lipazė dadidėjimas yra labiau specifinis nei amilazės kiekio padidėjimas ūmių pankreatitų atvejais.</w:t>
      </w:r>
    </w:p>
    <w:p w:rsidR="00AD5BB1" w:rsidRDefault="00AD5BB1" w:rsidP="00AD5BB1">
      <w:pPr>
        <w:rPr>
          <w:sz w:val="20"/>
        </w:rPr>
      </w:pPr>
      <w:r>
        <w:rPr>
          <w:b/>
          <w:sz w:val="20"/>
        </w:rPr>
        <w:t>Tyrimo metodas:</w:t>
      </w:r>
      <w:r>
        <w:rPr>
          <w:sz w:val="20"/>
        </w:rPr>
        <w:t xml:space="preserve"> dviejų taškų kinetinis.</w:t>
      </w:r>
    </w:p>
    <w:p w:rsidR="00AD5BB1" w:rsidRDefault="00AD5BB1" w:rsidP="00AD5BB1">
      <w:pPr>
        <w:rPr>
          <w:sz w:val="20"/>
        </w:rPr>
      </w:pPr>
      <w:r>
        <w:rPr>
          <w:b/>
          <w:sz w:val="20"/>
        </w:rPr>
        <w:t>Mėginys:</w:t>
      </w:r>
      <w:r>
        <w:rPr>
          <w:sz w:val="20"/>
        </w:rPr>
        <w:t xml:space="preserve"> Serumas. Plazma gali būti naudojama, tačiau joje lipazės aktyvumas mažesnis apie 15 </w:t>
      </w:r>
      <w:r w:rsidRPr="00B2013C">
        <w:rPr>
          <w:sz w:val="20"/>
        </w:rPr>
        <w:t>%.</w:t>
      </w:r>
    </w:p>
    <w:p w:rsidR="00AD5BB1" w:rsidRDefault="00AD5BB1" w:rsidP="00AD5BB1">
      <w:pPr>
        <w:rPr>
          <w:sz w:val="20"/>
        </w:rPr>
      </w:pPr>
      <w:r>
        <w:rPr>
          <w:b/>
          <w:sz w:val="20"/>
        </w:rPr>
        <w:t xml:space="preserve">Reagentai: </w:t>
      </w:r>
      <w:r>
        <w:rPr>
          <w:sz w:val="20"/>
        </w:rPr>
        <w:t>diacetinazė, glicerolkinazė, L-</w:t>
      </w:r>
      <w:r>
        <w:rPr>
          <w:sz w:val="20"/>
        </w:rPr>
        <w:sym w:font="Symbol" w:char="F061"/>
      </w:r>
      <w:r>
        <w:rPr>
          <w:sz w:val="20"/>
        </w:rPr>
        <w:t>-Glicerofosfato oksidazė, peroksidazė, kolipazė, adenozino trifosfatas, magnio chloridas, leuko dažai ir 1-oleoil-2,3-diacetil glicerolis.</w:t>
      </w:r>
    </w:p>
    <w:p w:rsidR="00AD5BB1" w:rsidRDefault="00AD5BB1" w:rsidP="00AD5BB1">
      <w:pPr>
        <w:rPr>
          <w:sz w:val="20"/>
        </w:rPr>
      </w:pPr>
      <w:r>
        <w:rPr>
          <w:b/>
          <w:sz w:val="20"/>
        </w:rPr>
        <w:t>Matavimo vienetai:</w:t>
      </w:r>
      <w:r>
        <w:rPr>
          <w:sz w:val="20"/>
        </w:rPr>
        <w:t xml:space="preserve"> U/L.</w:t>
      </w:r>
    </w:p>
    <w:p w:rsidR="00AD5BB1" w:rsidRDefault="00AD5BB1" w:rsidP="00AD5BB1">
      <w:pPr>
        <w:rPr>
          <w:sz w:val="20"/>
        </w:rPr>
      </w:pPr>
      <w:r>
        <w:rPr>
          <w:b/>
          <w:sz w:val="20"/>
        </w:rPr>
        <w:t>Bangos ilgis:</w:t>
      </w:r>
      <w:r>
        <w:rPr>
          <w:sz w:val="20"/>
        </w:rPr>
        <w:t xml:space="preserve"> 540 nm.</w:t>
      </w:r>
    </w:p>
    <w:p w:rsidR="00AD5BB1" w:rsidRDefault="00AD5BB1" w:rsidP="00AD5BB1">
      <w:pPr>
        <w:rPr>
          <w:sz w:val="20"/>
        </w:rPr>
      </w:pPr>
      <w:r>
        <w:rPr>
          <w:b/>
          <w:sz w:val="20"/>
        </w:rPr>
        <w:t>Tyrimo laikas:</w:t>
      </w:r>
      <w:r>
        <w:rPr>
          <w:sz w:val="20"/>
        </w:rPr>
        <w:t xml:space="preserve"> apie 5 min.</w:t>
      </w:r>
    </w:p>
    <w:p w:rsidR="00AD5BB1" w:rsidRDefault="00AD5BB1" w:rsidP="00AD5BB1">
      <w:pPr>
        <w:rPr>
          <w:sz w:val="20"/>
        </w:rPr>
      </w:pPr>
      <w:r>
        <w:rPr>
          <w:b/>
          <w:sz w:val="20"/>
        </w:rPr>
        <w:t>Inkubatoriaus temperatūra:</w:t>
      </w:r>
      <w:r>
        <w:rPr>
          <w:sz w:val="20"/>
        </w:rPr>
        <w:t xml:space="preserve"> 37 </w:t>
      </w:r>
      <w:r>
        <w:rPr>
          <w:sz w:val="20"/>
        </w:rPr>
        <w:sym w:font="Symbol" w:char="F0B0"/>
      </w:r>
      <w:r>
        <w:rPr>
          <w:sz w:val="20"/>
        </w:rPr>
        <w:t>C.</w:t>
      </w:r>
    </w:p>
    <w:p w:rsidR="00AD5BB1" w:rsidRDefault="00AD5BB1" w:rsidP="00AD5BB1">
      <w:pPr>
        <w:rPr>
          <w:sz w:val="20"/>
        </w:rPr>
      </w:pPr>
      <w:r>
        <w:rPr>
          <w:b/>
          <w:sz w:val="20"/>
        </w:rPr>
        <w:t>Analizatoriaus ribos:</w:t>
      </w:r>
      <w:r>
        <w:rPr>
          <w:sz w:val="20"/>
        </w:rPr>
        <w:t xml:space="preserve"> </w:t>
      </w:r>
      <w:r>
        <w:rPr>
          <w:sz w:val="20"/>
        </w:rPr>
        <w:tab/>
        <w:t>10 – 2000 U/L.</w:t>
      </w:r>
    </w:p>
    <w:p w:rsidR="00AD5BB1" w:rsidRDefault="00AD5BB1" w:rsidP="00AD5BB1">
      <w:pPr>
        <w:rPr>
          <w:sz w:val="20"/>
        </w:rPr>
      </w:pPr>
      <w:r>
        <w:rPr>
          <w:b/>
          <w:sz w:val="20"/>
        </w:rPr>
        <w:t>Normos (tikėtinos reikšmės):</w:t>
      </w:r>
      <w:r>
        <w:rPr>
          <w:sz w:val="20"/>
        </w:rPr>
        <w:t xml:space="preserve"> </w:t>
      </w:r>
      <w:r>
        <w:rPr>
          <w:sz w:val="20"/>
        </w:rPr>
        <w:tab/>
        <w:t>23 – 300 u/L.</w:t>
      </w:r>
    </w:p>
    <w:p w:rsidR="00AD5BB1" w:rsidRDefault="00AD5BB1" w:rsidP="00AD5BB1">
      <w:pPr>
        <w:rPr>
          <w:sz w:val="20"/>
        </w:rPr>
      </w:pPr>
      <w:r>
        <w:rPr>
          <w:b/>
          <w:sz w:val="20"/>
        </w:rPr>
        <w:t>Reagentų laikymas ir paruošimas:</w:t>
      </w:r>
      <w:r>
        <w:rPr>
          <w:sz w:val="20"/>
        </w:rPr>
        <w:t xml:space="preserve"> kasetes su reagentais laikyti </w:t>
      </w:r>
      <w:r>
        <w:rPr>
          <w:b/>
          <w:sz w:val="20"/>
        </w:rPr>
        <w:t xml:space="preserve">-18 </w:t>
      </w:r>
      <w:r>
        <w:rPr>
          <w:b/>
          <w:sz w:val="20"/>
        </w:rPr>
        <w:sym w:font="Symbol" w:char="F0B0"/>
      </w:r>
      <w:r>
        <w:rPr>
          <w:b/>
          <w:sz w:val="20"/>
        </w:rPr>
        <w:t>C</w:t>
      </w:r>
      <w:r>
        <w:rPr>
          <w:sz w:val="20"/>
        </w:rPr>
        <w:t xml:space="preserve"> ar žemesnėje temperatūroje. Prieš naudojimą reagentus išimti iš šaldiklio ir palaikyti kambario temperatūroje mažiausiai 60 min. Neišpakuotus ir nepanaudotus reagentus galima grąžinti į šaldiklį tolimesniam laikymui.</w:t>
      </w:r>
    </w:p>
    <w:p w:rsidR="00AD5BB1" w:rsidRDefault="00AD5BB1" w:rsidP="00AD5BB1">
      <w:pPr>
        <w:rPr>
          <w:sz w:val="20"/>
        </w:rPr>
      </w:pPr>
      <w:r>
        <w:rPr>
          <w:sz w:val="20"/>
        </w:rPr>
        <w:t xml:space="preserve">Analizatoriuje reagentus laikyti ne ilgiau </w:t>
      </w:r>
      <w:r>
        <w:rPr>
          <w:b/>
          <w:sz w:val="20"/>
        </w:rPr>
        <w:t>2 savaičių</w:t>
      </w:r>
      <w:r>
        <w:rPr>
          <w:sz w:val="20"/>
        </w:rPr>
        <w:t>.</w:t>
      </w:r>
    </w:p>
    <w:p w:rsidR="00AD5BB1" w:rsidRDefault="00AD5BB1" w:rsidP="00AD5BB1">
      <w:pPr>
        <w:rPr>
          <w:sz w:val="20"/>
        </w:rPr>
      </w:pPr>
      <w:r>
        <w:rPr>
          <w:b/>
          <w:sz w:val="20"/>
        </w:rPr>
        <w:t>Kalibratorius:</w:t>
      </w:r>
      <w:r>
        <w:rPr>
          <w:sz w:val="20"/>
        </w:rPr>
        <w:t xml:space="preserve"> </w:t>
      </w:r>
      <w:r>
        <w:rPr>
          <w:i/>
          <w:sz w:val="20"/>
        </w:rPr>
        <w:t>Vitros</w:t>
      </w:r>
      <w:r>
        <w:rPr>
          <w:sz w:val="20"/>
        </w:rPr>
        <w:t xml:space="preserve"> Chemistry Calibrator Kit </w:t>
      </w:r>
      <w:r>
        <w:rPr>
          <w:b/>
          <w:sz w:val="20"/>
        </w:rPr>
        <w:t>3</w:t>
      </w:r>
      <w:r>
        <w:rPr>
          <w:sz w:val="20"/>
        </w:rPr>
        <w:t>.</w:t>
      </w:r>
    </w:p>
    <w:p w:rsidR="00AD5BB1" w:rsidRDefault="00AD5BB1" w:rsidP="00AD5BB1">
      <w:pPr>
        <w:rPr>
          <w:sz w:val="20"/>
        </w:rPr>
      </w:pPr>
      <w:r>
        <w:rPr>
          <w:b/>
          <w:sz w:val="20"/>
        </w:rPr>
        <w:t>Kokybės kontrolė:</w:t>
      </w:r>
      <w:r>
        <w:rPr>
          <w:sz w:val="20"/>
        </w:rPr>
        <w:t xml:space="preserve"> kokybės kontrolę rekomenduojama atlikti su </w:t>
      </w:r>
      <w:r>
        <w:rPr>
          <w:b/>
          <w:i/>
          <w:sz w:val="20"/>
        </w:rPr>
        <w:t>Vitros</w:t>
      </w:r>
      <w:r>
        <w:rPr>
          <w:b/>
          <w:sz w:val="20"/>
        </w:rPr>
        <w:t xml:space="preserve"> Performance Verifier</w:t>
      </w:r>
      <w:r>
        <w:rPr>
          <w:sz w:val="20"/>
        </w:rPr>
        <w:t xml:space="preserve"> kontroliniais rinkiniais.</w:t>
      </w:r>
    </w:p>
    <w:p w:rsidR="00AD5BB1" w:rsidRDefault="00AD5BB1" w:rsidP="00AD5BB1">
      <w:pPr>
        <w:rPr>
          <w:sz w:val="20"/>
        </w:rPr>
      </w:pPr>
      <w:r>
        <w:rPr>
          <w:b/>
          <w:sz w:val="20"/>
        </w:rPr>
        <w:t>Skiedimas:</w:t>
      </w:r>
      <w:r>
        <w:rPr>
          <w:sz w:val="20"/>
        </w:rPr>
        <w:t xml:space="preserve"> Mėginius skiesti </w:t>
      </w:r>
      <w:r>
        <w:rPr>
          <w:b/>
          <w:i/>
          <w:sz w:val="20"/>
        </w:rPr>
        <w:t>Vitros</w:t>
      </w:r>
      <w:r>
        <w:rPr>
          <w:b/>
          <w:sz w:val="20"/>
        </w:rPr>
        <w:t xml:space="preserve"> 7</w:t>
      </w:r>
      <w:r>
        <w:rPr>
          <w:b/>
          <w:sz w:val="20"/>
        </w:rPr>
        <w:sym w:font="Symbol" w:char="F025"/>
      </w:r>
      <w:r>
        <w:rPr>
          <w:b/>
          <w:sz w:val="20"/>
        </w:rPr>
        <w:t xml:space="preserve"> BSA</w:t>
      </w:r>
      <w:r>
        <w:rPr>
          <w:sz w:val="20"/>
        </w:rPr>
        <w:t xml:space="preserve"> skiedikliu. Rekomenduojamas santykis 1:1.</w:t>
      </w:r>
    </w:p>
    <w:p w:rsidR="00AD5BB1" w:rsidRDefault="00AD5BB1" w:rsidP="00AD5BB1">
      <w:pPr>
        <w:outlineLvl w:val="0"/>
        <w:rPr>
          <w:b/>
          <w:sz w:val="20"/>
        </w:rPr>
      </w:pPr>
      <w:r>
        <w:rPr>
          <w:b/>
          <w:sz w:val="20"/>
        </w:rPr>
        <w:t>Veikimo apribojimai:</w:t>
      </w:r>
    </w:p>
    <w:p w:rsidR="00AD5BB1" w:rsidRDefault="00AD5BB1" w:rsidP="00AD5BB1">
      <w:pPr>
        <w:numPr>
          <w:ilvl w:val="0"/>
          <w:numId w:val="1"/>
        </w:numPr>
        <w:rPr>
          <w:sz w:val="20"/>
        </w:rPr>
      </w:pPr>
      <w:r>
        <w:rPr>
          <w:sz w:val="20"/>
        </w:rPr>
        <w:t xml:space="preserve">5-aminosalicilatas sumažina lipazės rezultatus iki 14 </w:t>
      </w:r>
      <w:r>
        <w:rPr>
          <w:sz w:val="20"/>
        </w:rPr>
        <w:sym w:font="Symbol" w:char="F025"/>
      </w:r>
      <w:r>
        <w:rPr>
          <w:sz w:val="20"/>
        </w:rPr>
        <w:t>.</w:t>
      </w:r>
    </w:p>
    <w:p w:rsidR="00AD5BB1" w:rsidRDefault="00AD5BB1" w:rsidP="00AD5BB1">
      <w:pPr>
        <w:numPr>
          <w:ilvl w:val="0"/>
          <w:numId w:val="1"/>
        </w:numPr>
        <w:rPr>
          <w:sz w:val="20"/>
        </w:rPr>
      </w:pPr>
      <w:r>
        <w:rPr>
          <w:sz w:val="20"/>
        </w:rPr>
        <w:t>Natrio dezoksicholatas (4 mmol/L) padidina lipazės rezultatus 23 U/L (prie 200 U/L).</w:t>
      </w:r>
    </w:p>
    <w:p w:rsidR="00AD5BB1" w:rsidRDefault="00AD5BB1" w:rsidP="00AD5BB1">
      <w:pPr>
        <w:numPr>
          <w:ilvl w:val="0"/>
          <w:numId w:val="1"/>
        </w:numPr>
        <w:rPr>
          <w:sz w:val="20"/>
        </w:rPr>
      </w:pPr>
      <w:r>
        <w:rPr>
          <w:sz w:val="20"/>
        </w:rPr>
        <w:t>Karboksilesterazė iki 51000 U/L neturi įtakos į lipazės rezultatus.</w:t>
      </w:r>
    </w:p>
    <w:p w:rsidR="001E1F4F" w:rsidRDefault="001E1F4F" w:rsidP="00AD5BB1">
      <w:bookmarkStart w:id="0" w:name="_GoBack"/>
      <w:bookmarkEnd w:id="0"/>
    </w:p>
    <w:sectPr w:rsidR="001E1F4F" w:rsidSect="00AD5BB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C60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B1"/>
    <w:rsid w:val="001E1F4F"/>
    <w:rsid w:val="00AD5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B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AD5BB1"/>
    <w:pPr>
      <w:keepNext/>
      <w:jc w:val="left"/>
      <w:outlineLvl w:val="0"/>
    </w:pPr>
    <w:rPr>
      <w:b/>
      <w:sz w:val="32"/>
    </w:rPr>
  </w:style>
  <w:style w:type="paragraph" w:styleId="Heading2">
    <w:name w:val="heading 2"/>
    <w:basedOn w:val="Normal"/>
    <w:next w:val="Normal"/>
    <w:link w:val="Heading2Char"/>
    <w:qFormat/>
    <w:rsid w:val="00AD5BB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B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AD5BB1"/>
    <w:rPr>
      <w:rFonts w:ascii="Times New Roman" w:eastAsia="Times New Roman" w:hAnsi="Times New Roman" w:cs="Times New Roman"/>
      <w:b/>
      <w:sz w:val="28"/>
      <w:szCs w:val="20"/>
    </w:rPr>
  </w:style>
  <w:style w:type="paragraph" w:styleId="BodyText2">
    <w:name w:val="Body Text 2"/>
    <w:basedOn w:val="Normal"/>
    <w:link w:val="BodyText2Char"/>
    <w:rsid w:val="00AD5BB1"/>
    <w:rPr>
      <w:sz w:val="20"/>
    </w:rPr>
  </w:style>
  <w:style w:type="character" w:customStyle="1" w:styleId="BodyText2Char">
    <w:name w:val="Body Text 2 Char"/>
    <w:basedOn w:val="DefaultParagraphFont"/>
    <w:link w:val="BodyText2"/>
    <w:rsid w:val="00AD5BB1"/>
    <w:rPr>
      <w:rFonts w:ascii="Times New Roman" w:eastAsia="Times New Roman" w:hAnsi="Times New Roman" w:cs="Times New Roman"/>
      <w:sz w:val="20"/>
      <w:szCs w:val="20"/>
    </w:rPr>
  </w:style>
  <w:style w:type="paragraph" w:styleId="BodyTextIndent2">
    <w:name w:val="Body Text Indent 2"/>
    <w:basedOn w:val="Normal"/>
    <w:link w:val="BodyTextIndent2Char"/>
    <w:rsid w:val="00AD5BB1"/>
    <w:pPr>
      <w:ind w:firstLine="720"/>
    </w:pPr>
  </w:style>
  <w:style w:type="character" w:customStyle="1" w:styleId="BodyTextIndent2Char">
    <w:name w:val="Body Text Indent 2 Char"/>
    <w:basedOn w:val="DefaultParagraphFont"/>
    <w:link w:val="BodyTextIndent2"/>
    <w:rsid w:val="00AD5BB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B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AD5BB1"/>
    <w:pPr>
      <w:keepNext/>
      <w:jc w:val="left"/>
      <w:outlineLvl w:val="0"/>
    </w:pPr>
    <w:rPr>
      <w:b/>
      <w:sz w:val="32"/>
    </w:rPr>
  </w:style>
  <w:style w:type="paragraph" w:styleId="Heading2">
    <w:name w:val="heading 2"/>
    <w:basedOn w:val="Normal"/>
    <w:next w:val="Normal"/>
    <w:link w:val="Heading2Char"/>
    <w:qFormat/>
    <w:rsid w:val="00AD5BB1"/>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B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AD5BB1"/>
    <w:rPr>
      <w:rFonts w:ascii="Times New Roman" w:eastAsia="Times New Roman" w:hAnsi="Times New Roman" w:cs="Times New Roman"/>
      <w:b/>
      <w:sz w:val="28"/>
      <w:szCs w:val="20"/>
    </w:rPr>
  </w:style>
  <w:style w:type="paragraph" w:styleId="BodyText2">
    <w:name w:val="Body Text 2"/>
    <w:basedOn w:val="Normal"/>
    <w:link w:val="BodyText2Char"/>
    <w:rsid w:val="00AD5BB1"/>
    <w:rPr>
      <w:sz w:val="20"/>
    </w:rPr>
  </w:style>
  <w:style w:type="character" w:customStyle="1" w:styleId="BodyText2Char">
    <w:name w:val="Body Text 2 Char"/>
    <w:basedOn w:val="DefaultParagraphFont"/>
    <w:link w:val="BodyText2"/>
    <w:rsid w:val="00AD5BB1"/>
    <w:rPr>
      <w:rFonts w:ascii="Times New Roman" w:eastAsia="Times New Roman" w:hAnsi="Times New Roman" w:cs="Times New Roman"/>
      <w:sz w:val="20"/>
      <w:szCs w:val="20"/>
    </w:rPr>
  </w:style>
  <w:style w:type="paragraph" w:styleId="BodyTextIndent2">
    <w:name w:val="Body Text Indent 2"/>
    <w:basedOn w:val="Normal"/>
    <w:link w:val="BodyTextIndent2Char"/>
    <w:rsid w:val="00AD5BB1"/>
    <w:pPr>
      <w:ind w:firstLine="720"/>
    </w:pPr>
  </w:style>
  <w:style w:type="character" w:customStyle="1" w:styleId="BodyTextIndent2Char">
    <w:name w:val="Body Text Indent 2 Char"/>
    <w:basedOn w:val="DefaultParagraphFont"/>
    <w:link w:val="BodyTextIndent2"/>
    <w:rsid w:val="00AD5BB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1863</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2015-06-11T12:00:00Z</dcterms:created>
  <dcterms:modified xsi:type="dcterms:W3CDTF">2015-06-11T12:00:00Z</dcterms:modified>
</cp:coreProperties>
</file>