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A32" w:rsidRDefault="00DA6A32" w:rsidP="00DA6A32">
      <w:pPr>
        <w:pStyle w:val="Heading1"/>
      </w:pPr>
      <w:r>
        <w:rPr>
          <w:i/>
        </w:rPr>
        <w:t>Vitros</w:t>
      </w:r>
      <w:r>
        <w:t xml:space="preserve"> UPRO reagentai</w:t>
      </w:r>
    </w:p>
    <w:p w:rsidR="00DA6A32" w:rsidRDefault="00DA6A32" w:rsidP="00DA6A32"/>
    <w:p w:rsidR="00DA6A32" w:rsidRDefault="00DA6A32" w:rsidP="00DA6A32">
      <w:pPr>
        <w:pStyle w:val="Heading2"/>
      </w:pPr>
      <w:r>
        <w:t>Baltymo šlapime analizė</w:t>
      </w:r>
    </w:p>
    <w:p w:rsidR="00DA6A32" w:rsidRDefault="00DA6A32" w:rsidP="00DA6A32">
      <w:pPr>
        <w:rPr>
          <w:sz w:val="20"/>
        </w:rPr>
      </w:pPr>
    </w:p>
    <w:p w:rsidR="00DA6A32" w:rsidRDefault="00DA6A32" w:rsidP="00DA6A32">
      <w:pPr>
        <w:pStyle w:val="BodyTextIndent2"/>
        <w:rPr>
          <w:sz w:val="20"/>
        </w:rPr>
      </w:pPr>
      <w:r>
        <w:rPr>
          <w:sz w:val="20"/>
        </w:rPr>
        <w:t>Tai sausos chemijos daugiasluoksnis reagentas baltymo nustatymui šlapime. Šio parametro nustatymo pagrindas – spalvinio komplekso formavimasis tarp baltymo ir pirokatecholio violetinių dažų.</w:t>
      </w:r>
    </w:p>
    <w:p w:rsidR="00DA6A32" w:rsidRDefault="00DA6A32" w:rsidP="00DA6A32">
      <w:pPr>
        <w:rPr>
          <w:sz w:val="20"/>
        </w:rPr>
      </w:pPr>
    </w:p>
    <w:tbl>
      <w:tblPr>
        <w:tblW w:w="0" w:type="auto"/>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268"/>
        <w:gridCol w:w="7371"/>
      </w:tblGrid>
      <w:tr w:rsidR="00DA6A32" w:rsidTr="00026981">
        <w:tblPrEx>
          <w:tblCellMar>
            <w:top w:w="0" w:type="dxa"/>
            <w:bottom w:w="0" w:type="dxa"/>
          </w:tblCellMar>
        </w:tblPrEx>
        <w:trPr>
          <w:trHeight w:val="676"/>
        </w:trPr>
        <w:tc>
          <w:tcPr>
            <w:tcW w:w="2268" w:type="dxa"/>
          </w:tcPr>
          <w:p w:rsidR="00DA6A32" w:rsidRDefault="00DA6A32" w:rsidP="00026981">
            <w:pPr>
              <w:rPr>
                <w:sz w:val="20"/>
              </w:rPr>
            </w:pPr>
            <w:r>
              <w:rPr>
                <w:sz w:val="20"/>
              </w:rPr>
              <w:t>Reakcijos principas:</w:t>
            </w:r>
          </w:p>
          <w:p w:rsidR="00DA6A32" w:rsidRDefault="00DA6A32" w:rsidP="00026981">
            <w:pPr>
              <w:rPr>
                <w:sz w:val="20"/>
              </w:rPr>
            </w:pPr>
          </w:p>
        </w:tc>
        <w:tc>
          <w:tcPr>
            <w:tcW w:w="7371" w:type="dxa"/>
          </w:tcPr>
          <w:p w:rsidR="00DA6A32" w:rsidRDefault="00DA6A32" w:rsidP="00026981">
            <w:pPr>
              <w:rPr>
                <w:sz w:val="20"/>
              </w:rPr>
            </w:pPr>
          </w:p>
          <w:p w:rsidR="00DA6A32" w:rsidRDefault="00DA6A32" w:rsidP="00026981">
            <w:pPr>
              <w:rPr>
                <w:sz w:val="20"/>
              </w:rPr>
            </w:pPr>
            <w:r>
              <w:rPr>
                <w:sz w:val="20"/>
              </w:rPr>
              <w:t>Mo</w:t>
            </w:r>
            <w:r>
              <w:rPr>
                <w:sz w:val="20"/>
                <w:vertAlign w:val="superscript"/>
              </w:rPr>
              <w:t>+6</w:t>
            </w:r>
            <w:r>
              <w:rPr>
                <w:sz w:val="20"/>
              </w:rPr>
              <w:t xml:space="preserve"> + pirokatecholio violetiniai dažai + baltymas ——</w:t>
            </w:r>
            <w:r>
              <w:rPr>
                <w:sz w:val="20"/>
              </w:rPr>
              <w:sym w:font="Symbol" w:char="F0AE"/>
            </w:r>
            <w:r>
              <w:rPr>
                <w:sz w:val="20"/>
              </w:rPr>
              <w:t xml:space="preserve"> spalvinis kompleksas</w:t>
            </w:r>
          </w:p>
          <w:p w:rsidR="00DA6A32" w:rsidRDefault="00DA6A32" w:rsidP="00026981">
            <w:pPr>
              <w:rPr>
                <w:sz w:val="20"/>
              </w:rPr>
            </w:pPr>
          </w:p>
        </w:tc>
      </w:tr>
    </w:tbl>
    <w:p w:rsidR="00DA6A32" w:rsidRDefault="00DA6A32" w:rsidP="00DA6A32">
      <w:pPr>
        <w:rPr>
          <w:sz w:val="20"/>
        </w:rPr>
      </w:pPr>
    </w:p>
    <w:p w:rsidR="00DA6A32" w:rsidRDefault="00DA6A32" w:rsidP="00DA6A32">
      <w:pPr>
        <w:rPr>
          <w:sz w:val="20"/>
        </w:rPr>
      </w:pPr>
      <w:r>
        <w:rPr>
          <w:b/>
          <w:sz w:val="20"/>
        </w:rPr>
        <w:t>Klinikinė reikšmė:</w:t>
      </w:r>
      <w:r>
        <w:rPr>
          <w:sz w:val="20"/>
        </w:rPr>
        <w:t xml:space="preserve"> Plazmos baltymų filtravimas ir reabsorbcija išsiskiriant šlapimui svarbi sveikų ir gyvybingų inkstų funkcija. Padidėjęs baltymas šlapime (proteinurija) parodo inkstų ligą. Proteinurija taip pat pastebima pacientams su sisteminiais sutrikimais, kurie veikia inkstus: diabetas, neoplazija, apsinuodijimas vaistais, hipertenzija ir infekcinės ligos.</w:t>
      </w:r>
    </w:p>
    <w:p w:rsidR="00DA6A32" w:rsidRDefault="00DA6A32" w:rsidP="00DA6A32">
      <w:pPr>
        <w:outlineLvl w:val="0"/>
        <w:rPr>
          <w:sz w:val="20"/>
        </w:rPr>
      </w:pPr>
      <w:r>
        <w:rPr>
          <w:b/>
          <w:sz w:val="20"/>
        </w:rPr>
        <w:t>Tyrimo metodas:</w:t>
      </w:r>
      <w:r>
        <w:rPr>
          <w:sz w:val="20"/>
        </w:rPr>
        <w:t xml:space="preserve"> kolorimetrinis.</w:t>
      </w:r>
    </w:p>
    <w:p w:rsidR="00DA6A32" w:rsidRDefault="00DA6A32" w:rsidP="00DA6A32">
      <w:pPr>
        <w:rPr>
          <w:sz w:val="20"/>
        </w:rPr>
      </w:pPr>
      <w:r>
        <w:rPr>
          <w:b/>
          <w:sz w:val="20"/>
        </w:rPr>
        <w:t>Mėginys:</w:t>
      </w:r>
      <w:r>
        <w:rPr>
          <w:sz w:val="20"/>
        </w:rPr>
        <w:t xml:space="preserve"> Šlapimas.</w:t>
      </w:r>
    </w:p>
    <w:p w:rsidR="00DA6A32" w:rsidRDefault="00DA6A32" w:rsidP="00DA6A32">
      <w:pPr>
        <w:pStyle w:val="BodyTextIndent2"/>
        <w:ind w:firstLine="0"/>
        <w:rPr>
          <w:sz w:val="20"/>
        </w:rPr>
      </w:pPr>
      <w:r>
        <w:rPr>
          <w:b/>
          <w:sz w:val="20"/>
        </w:rPr>
        <w:t>Reagentai:</w:t>
      </w:r>
      <w:r>
        <w:rPr>
          <w:sz w:val="20"/>
        </w:rPr>
        <w:t xml:space="preserve"> pirokatecholio violetiniai dažai, amonio molibdatas ir kalio oksalatas.</w:t>
      </w:r>
    </w:p>
    <w:p w:rsidR="00DA6A32" w:rsidRDefault="00DA6A32" w:rsidP="00DA6A32">
      <w:pPr>
        <w:rPr>
          <w:sz w:val="20"/>
        </w:rPr>
      </w:pPr>
      <w:r>
        <w:rPr>
          <w:b/>
          <w:sz w:val="20"/>
        </w:rPr>
        <w:t>Matavimo vienetai:</w:t>
      </w:r>
      <w:r>
        <w:rPr>
          <w:sz w:val="20"/>
        </w:rPr>
        <w:t xml:space="preserve"> g/L.</w:t>
      </w:r>
    </w:p>
    <w:p w:rsidR="00DA6A32" w:rsidRDefault="00DA6A32" w:rsidP="00DA6A32">
      <w:pPr>
        <w:rPr>
          <w:sz w:val="20"/>
        </w:rPr>
      </w:pPr>
      <w:r>
        <w:rPr>
          <w:b/>
          <w:sz w:val="20"/>
        </w:rPr>
        <w:t>Bangos ilgis:</w:t>
      </w:r>
      <w:r>
        <w:rPr>
          <w:sz w:val="20"/>
        </w:rPr>
        <w:t xml:space="preserve"> 670 nm.</w:t>
      </w:r>
    </w:p>
    <w:p w:rsidR="00DA6A32" w:rsidRDefault="00DA6A32" w:rsidP="00DA6A32">
      <w:pPr>
        <w:rPr>
          <w:sz w:val="20"/>
        </w:rPr>
      </w:pPr>
      <w:r>
        <w:rPr>
          <w:b/>
          <w:sz w:val="20"/>
        </w:rPr>
        <w:t>Tyrimo laikas:</w:t>
      </w:r>
      <w:r>
        <w:rPr>
          <w:sz w:val="20"/>
        </w:rPr>
        <w:t xml:space="preserve"> apie 5 min.</w:t>
      </w:r>
    </w:p>
    <w:p w:rsidR="00DA6A32" w:rsidRDefault="00DA6A32" w:rsidP="00DA6A32">
      <w:pPr>
        <w:rPr>
          <w:sz w:val="20"/>
        </w:rPr>
      </w:pPr>
      <w:r>
        <w:rPr>
          <w:b/>
          <w:sz w:val="20"/>
        </w:rPr>
        <w:t>Inkubatoriaus temperatūra:</w:t>
      </w:r>
      <w:r>
        <w:rPr>
          <w:sz w:val="20"/>
        </w:rPr>
        <w:t xml:space="preserve"> 37 </w:t>
      </w:r>
      <w:r>
        <w:rPr>
          <w:sz w:val="20"/>
        </w:rPr>
        <w:sym w:font="Symbol" w:char="F0B0"/>
      </w:r>
      <w:r>
        <w:rPr>
          <w:sz w:val="20"/>
        </w:rPr>
        <w:t>C.</w:t>
      </w:r>
    </w:p>
    <w:p w:rsidR="00DA6A32" w:rsidRDefault="00DA6A32" w:rsidP="00DA6A32">
      <w:pPr>
        <w:rPr>
          <w:sz w:val="20"/>
        </w:rPr>
      </w:pPr>
      <w:r>
        <w:rPr>
          <w:b/>
          <w:sz w:val="20"/>
        </w:rPr>
        <w:t>Analizatoriaus ribos:</w:t>
      </w:r>
      <w:r>
        <w:rPr>
          <w:sz w:val="20"/>
        </w:rPr>
        <w:tab/>
        <w:t>0.05 – 2.00 g/L.</w:t>
      </w:r>
    </w:p>
    <w:p w:rsidR="00DA6A32" w:rsidRDefault="00DA6A32" w:rsidP="00DA6A32">
      <w:pPr>
        <w:rPr>
          <w:sz w:val="20"/>
        </w:rPr>
      </w:pPr>
      <w:r>
        <w:rPr>
          <w:b/>
          <w:sz w:val="20"/>
        </w:rPr>
        <w:t>Normos (tikėtinos reikšmės):</w:t>
      </w:r>
      <w:r>
        <w:rPr>
          <w:b/>
          <w:sz w:val="20"/>
        </w:rPr>
        <w:tab/>
      </w:r>
      <w:r>
        <w:rPr>
          <w:sz w:val="20"/>
        </w:rPr>
        <w:t>24 val:</w:t>
      </w:r>
      <w:r>
        <w:rPr>
          <w:b/>
          <w:sz w:val="20"/>
        </w:rPr>
        <w:tab/>
      </w:r>
      <w:r>
        <w:rPr>
          <w:b/>
          <w:sz w:val="20"/>
        </w:rPr>
        <w:tab/>
      </w:r>
      <w:r>
        <w:rPr>
          <w:b/>
          <w:sz w:val="20"/>
        </w:rPr>
        <w:tab/>
      </w:r>
      <w:r>
        <w:rPr>
          <w:sz w:val="20"/>
        </w:rPr>
        <w:t>0.04 –0.23 g/diena;</w:t>
      </w:r>
    </w:p>
    <w:p w:rsidR="00DA6A32" w:rsidRDefault="00DA6A32" w:rsidP="00DA6A32">
      <w:pPr>
        <w:pStyle w:val="BodyText2"/>
      </w:pPr>
      <w:r>
        <w:tab/>
      </w:r>
      <w:r>
        <w:tab/>
      </w:r>
      <w:r>
        <w:tab/>
      </w:r>
      <w:r>
        <w:tab/>
      </w:r>
      <w:r>
        <w:tab/>
        <w:t>Pavieniai mėginiai:</w:t>
      </w:r>
      <w:r>
        <w:tab/>
        <w:t>&lt; 0.12 g/L.</w:t>
      </w:r>
    </w:p>
    <w:p w:rsidR="00DA6A32" w:rsidRDefault="00DA6A32" w:rsidP="00DA6A32">
      <w:pPr>
        <w:rPr>
          <w:sz w:val="20"/>
        </w:rPr>
      </w:pPr>
      <w:r>
        <w:rPr>
          <w:b/>
          <w:sz w:val="20"/>
        </w:rPr>
        <w:t>Reagentų laikymas ir paruošimas:</w:t>
      </w:r>
      <w:r>
        <w:rPr>
          <w:sz w:val="20"/>
        </w:rPr>
        <w:t xml:space="preserve"> kasetes su reagentais laikyti </w:t>
      </w:r>
      <w:r>
        <w:rPr>
          <w:b/>
          <w:sz w:val="20"/>
        </w:rPr>
        <w:t xml:space="preserve">-18 </w:t>
      </w:r>
      <w:r>
        <w:rPr>
          <w:b/>
          <w:sz w:val="20"/>
        </w:rPr>
        <w:sym w:font="Symbol" w:char="F0B0"/>
      </w:r>
      <w:r>
        <w:rPr>
          <w:b/>
          <w:sz w:val="20"/>
        </w:rPr>
        <w:t>C</w:t>
      </w:r>
      <w:r>
        <w:rPr>
          <w:sz w:val="20"/>
        </w:rPr>
        <w:t xml:space="preserve"> ar žemesnėje temperatūroje. Prieš naudojimą reagentus išimti iš šaldiklio ir palaikyti kambario temperatūroje mažiausiai 60 min. Neišpakuotus ir nepanaudotus reagentus galima grąžinti į šaldiklį tolimesniam laikymui.</w:t>
      </w:r>
    </w:p>
    <w:p w:rsidR="00DA6A32" w:rsidRDefault="00DA6A32" w:rsidP="00DA6A32">
      <w:pPr>
        <w:rPr>
          <w:sz w:val="20"/>
        </w:rPr>
      </w:pPr>
      <w:r>
        <w:rPr>
          <w:sz w:val="20"/>
        </w:rPr>
        <w:t xml:space="preserve">Analizatoriuje reagentus laikyti ne ilgiau </w:t>
      </w:r>
      <w:r>
        <w:rPr>
          <w:b/>
          <w:sz w:val="20"/>
        </w:rPr>
        <w:t>2 savaičių</w:t>
      </w:r>
      <w:r>
        <w:rPr>
          <w:sz w:val="20"/>
        </w:rPr>
        <w:t>.</w:t>
      </w:r>
    </w:p>
    <w:p w:rsidR="00DA6A32" w:rsidRDefault="00DA6A32" w:rsidP="00DA6A32">
      <w:pPr>
        <w:rPr>
          <w:sz w:val="20"/>
        </w:rPr>
      </w:pPr>
      <w:r>
        <w:rPr>
          <w:b/>
          <w:sz w:val="20"/>
        </w:rPr>
        <w:t>Kalibratorius:</w:t>
      </w:r>
      <w:r>
        <w:rPr>
          <w:sz w:val="20"/>
        </w:rPr>
        <w:t xml:space="preserve"> </w:t>
      </w:r>
      <w:r>
        <w:rPr>
          <w:i/>
          <w:sz w:val="20"/>
        </w:rPr>
        <w:t>Vitros</w:t>
      </w:r>
      <w:r>
        <w:rPr>
          <w:sz w:val="20"/>
        </w:rPr>
        <w:t xml:space="preserve"> Chemistry Calibrator Kit </w:t>
      </w:r>
      <w:r>
        <w:rPr>
          <w:b/>
          <w:sz w:val="20"/>
        </w:rPr>
        <w:t>10</w:t>
      </w:r>
      <w:r>
        <w:rPr>
          <w:sz w:val="20"/>
        </w:rPr>
        <w:t>.</w:t>
      </w:r>
    </w:p>
    <w:p w:rsidR="00DA6A32" w:rsidRDefault="00DA6A32" w:rsidP="00DA6A32">
      <w:pPr>
        <w:rPr>
          <w:sz w:val="20"/>
        </w:rPr>
      </w:pPr>
      <w:r>
        <w:rPr>
          <w:b/>
          <w:sz w:val="20"/>
        </w:rPr>
        <w:t>Kokybės kontrolė:</w:t>
      </w:r>
      <w:r>
        <w:rPr>
          <w:sz w:val="20"/>
        </w:rPr>
        <w:t xml:space="preserve"> kokybės kontrolę rekomenduojama atlikti su </w:t>
      </w:r>
      <w:r>
        <w:rPr>
          <w:b/>
          <w:i/>
          <w:sz w:val="20"/>
        </w:rPr>
        <w:t>Vitros</w:t>
      </w:r>
      <w:r>
        <w:rPr>
          <w:b/>
          <w:sz w:val="20"/>
        </w:rPr>
        <w:t xml:space="preserve"> UPRO Performance Verifier</w:t>
      </w:r>
      <w:r>
        <w:rPr>
          <w:sz w:val="20"/>
        </w:rPr>
        <w:t xml:space="preserve"> kontroliniais rinkiniais.</w:t>
      </w:r>
    </w:p>
    <w:p w:rsidR="00DA6A32" w:rsidRDefault="00DA6A32" w:rsidP="00DA6A32">
      <w:pPr>
        <w:rPr>
          <w:sz w:val="20"/>
        </w:rPr>
      </w:pPr>
      <w:r>
        <w:rPr>
          <w:b/>
          <w:sz w:val="20"/>
        </w:rPr>
        <w:t>Skiedimas:</w:t>
      </w:r>
      <w:r>
        <w:rPr>
          <w:sz w:val="20"/>
        </w:rPr>
        <w:t xml:space="preserve"> Mėginius skiesti normaliais pacientų mėginiais arba distiliuotu vandeniu. Rekomenduojamas skiedimo santykis 1:2.</w:t>
      </w:r>
    </w:p>
    <w:p w:rsidR="00DA6A32" w:rsidRDefault="00DA6A32" w:rsidP="00DA6A32">
      <w:pPr>
        <w:outlineLvl w:val="0"/>
        <w:rPr>
          <w:sz w:val="20"/>
        </w:rPr>
      </w:pPr>
      <w:r>
        <w:rPr>
          <w:b/>
          <w:sz w:val="20"/>
        </w:rPr>
        <w:t>Veikimo apribojimai:</w:t>
      </w:r>
    </w:p>
    <w:p w:rsidR="00DA6A32" w:rsidRDefault="00DA6A32" w:rsidP="00DA6A32">
      <w:pPr>
        <w:rPr>
          <w:sz w:val="20"/>
        </w:rPr>
      </w:pPr>
      <w:r>
        <w:rPr>
          <w:sz w:val="20"/>
        </w:rPr>
        <w:tab/>
        <w:t>Pastebėti šie interferentai, iškreipiantys matavimo rezultatus:</w:t>
      </w:r>
    </w:p>
    <w:p w:rsidR="00DA6A32" w:rsidRDefault="00DA6A32" w:rsidP="00DA6A32">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261"/>
        <w:gridCol w:w="2268"/>
        <w:gridCol w:w="1842"/>
      </w:tblGrid>
      <w:tr w:rsidR="00DA6A32" w:rsidTr="00026981">
        <w:tblPrEx>
          <w:tblCellMar>
            <w:top w:w="0" w:type="dxa"/>
            <w:bottom w:w="0" w:type="dxa"/>
          </w:tblCellMar>
        </w:tblPrEx>
        <w:tc>
          <w:tcPr>
            <w:tcW w:w="2268" w:type="dxa"/>
          </w:tcPr>
          <w:p w:rsidR="00DA6A32" w:rsidRDefault="00DA6A32" w:rsidP="00026981">
            <w:pPr>
              <w:jc w:val="center"/>
              <w:rPr>
                <w:sz w:val="20"/>
              </w:rPr>
            </w:pPr>
            <w:r>
              <w:rPr>
                <w:sz w:val="20"/>
              </w:rPr>
              <w:t>Interferentas</w:t>
            </w:r>
          </w:p>
        </w:tc>
        <w:tc>
          <w:tcPr>
            <w:tcW w:w="3261" w:type="dxa"/>
          </w:tcPr>
          <w:p w:rsidR="00DA6A32" w:rsidRDefault="00DA6A32" w:rsidP="00026981">
            <w:pPr>
              <w:jc w:val="center"/>
              <w:rPr>
                <w:sz w:val="20"/>
              </w:rPr>
            </w:pPr>
            <w:r>
              <w:rPr>
                <w:sz w:val="20"/>
              </w:rPr>
              <w:t>Interferento koncentracija</w:t>
            </w:r>
          </w:p>
        </w:tc>
        <w:tc>
          <w:tcPr>
            <w:tcW w:w="2268" w:type="dxa"/>
          </w:tcPr>
          <w:p w:rsidR="00DA6A32" w:rsidRDefault="00DA6A32" w:rsidP="00026981">
            <w:pPr>
              <w:jc w:val="center"/>
              <w:rPr>
                <w:sz w:val="20"/>
              </w:rPr>
            </w:pPr>
            <w:r>
              <w:rPr>
                <w:sz w:val="20"/>
              </w:rPr>
              <w:t>Analitės koncentracija</w:t>
            </w:r>
          </w:p>
        </w:tc>
        <w:tc>
          <w:tcPr>
            <w:tcW w:w="1842" w:type="dxa"/>
          </w:tcPr>
          <w:p w:rsidR="00DA6A32" w:rsidRDefault="00DA6A32" w:rsidP="00026981">
            <w:pPr>
              <w:jc w:val="center"/>
              <w:rPr>
                <w:sz w:val="20"/>
              </w:rPr>
            </w:pPr>
            <w:r>
              <w:rPr>
                <w:sz w:val="20"/>
              </w:rPr>
              <w:t>Nuokrypis</w:t>
            </w:r>
          </w:p>
        </w:tc>
      </w:tr>
      <w:tr w:rsidR="00DA6A32" w:rsidTr="00026981">
        <w:tblPrEx>
          <w:tblCellMar>
            <w:top w:w="0" w:type="dxa"/>
            <w:bottom w:w="0" w:type="dxa"/>
          </w:tblCellMar>
        </w:tblPrEx>
        <w:tc>
          <w:tcPr>
            <w:tcW w:w="2268" w:type="dxa"/>
          </w:tcPr>
          <w:p w:rsidR="00DA6A32" w:rsidRDefault="00DA6A32" w:rsidP="00026981">
            <w:pPr>
              <w:rPr>
                <w:sz w:val="20"/>
              </w:rPr>
            </w:pPr>
            <w:r>
              <w:rPr>
                <w:sz w:val="20"/>
              </w:rPr>
              <w:t>Cefriaksonas</w:t>
            </w:r>
          </w:p>
        </w:tc>
        <w:tc>
          <w:tcPr>
            <w:tcW w:w="3261" w:type="dxa"/>
          </w:tcPr>
          <w:p w:rsidR="00DA6A32" w:rsidRDefault="00DA6A32" w:rsidP="00026981">
            <w:pPr>
              <w:jc w:val="center"/>
              <w:rPr>
                <w:sz w:val="20"/>
              </w:rPr>
            </w:pPr>
            <w:r>
              <w:rPr>
                <w:sz w:val="20"/>
              </w:rPr>
              <w:t>10 mmol/L</w:t>
            </w:r>
          </w:p>
        </w:tc>
        <w:tc>
          <w:tcPr>
            <w:tcW w:w="2268" w:type="dxa"/>
          </w:tcPr>
          <w:p w:rsidR="00DA6A32" w:rsidRDefault="00DA6A32" w:rsidP="00026981">
            <w:pPr>
              <w:jc w:val="center"/>
              <w:rPr>
                <w:sz w:val="20"/>
              </w:rPr>
            </w:pPr>
            <w:r>
              <w:rPr>
                <w:sz w:val="20"/>
              </w:rPr>
              <w:t>0.22 g/L</w:t>
            </w:r>
          </w:p>
        </w:tc>
        <w:tc>
          <w:tcPr>
            <w:tcW w:w="1842" w:type="dxa"/>
          </w:tcPr>
          <w:p w:rsidR="00DA6A32" w:rsidRDefault="00DA6A32" w:rsidP="00026981">
            <w:pPr>
              <w:jc w:val="center"/>
              <w:rPr>
                <w:sz w:val="20"/>
              </w:rPr>
            </w:pPr>
            <w:r>
              <w:rPr>
                <w:sz w:val="20"/>
              </w:rPr>
              <w:t>+ 1.19 g/L</w:t>
            </w:r>
          </w:p>
        </w:tc>
      </w:tr>
      <w:tr w:rsidR="00DA6A32" w:rsidTr="00026981">
        <w:tblPrEx>
          <w:tblCellMar>
            <w:top w:w="0" w:type="dxa"/>
            <w:bottom w:w="0" w:type="dxa"/>
          </w:tblCellMar>
        </w:tblPrEx>
        <w:tc>
          <w:tcPr>
            <w:tcW w:w="2268" w:type="dxa"/>
          </w:tcPr>
          <w:p w:rsidR="00DA6A32" w:rsidRDefault="00DA6A32" w:rsidP="00026981">
            <w:pPr>
              <w:rPr>
                <w:sz w:val="20"/>
              </w:rPr>
            </w:pPr>
            <w:r>
              <w:rPr>
                <w:sz w:val="20"/>
              </w:rPr>
              <w:t>Deferoksamino mezilatas</w:t>
            </w:r>
          </w:p>
        </w:tc>
        <w:tc>
          <w:tcPr>
            <w:tcW w:w="3261" w:type="dxa"/>
          </w:tcPr>
          <w:p w:rsidR="00DA6A32" w:rsidRDefault="00DA6A32" w:rsidP="00026981">
            <w:pPr>
              <w:jc w:val="center"/>
              <w:rPr>
                <w:sz w:val="20"/>
              </w:rPr>
            </w:pPr>
            <w:r>
              <w:rPr>
                <w:sz w:val="20"/>
              </w:rPr>
              <w:t>11 mmol/L</w:t>
            </w:r>
          </w:p>
        </w:tc>
        <w:tc>
          <w:tcPr>
            <w:tcW w:w="2268" w:type="dxa"/>
          </w:tcPr>
          <w:p w:rsidR="00DA6A32" w:rsidRDefault="00DA6A32" w:rsidP="00026981">
            <w:pPr>
              <w:jc w:val="center"/>
              <w:rPr>
                <w:sz w:val="20"/>
              </w:rPr>
            </w:pPr>
            <w:r>
              <w:rPr>
                <w:sz w:val="20"/>
              </w:rPr>
              <w:t>0.23 g/L</w:t>
            </w:r>
          </w:p>
        </w:tc>
        <w:tc>
          <w:tcPr>
            <w:tcW w:w="1842" w:type="dxa"/>
          </w:tcPr>
          <w:p w:rsidR="00DA6A32" w:rsidRDefault="00DA6A32" w:rsidP="00026981">
            <w:pPr>
              <w:jc w:val="center"/>
              <w:rPr>
                <w:sz w:val="20"/>
              </w:rPr>
            </w:pPr>
            <w:r>
              <w:rPr>
                <w:sz w:val="20"/>
              </w:rPr>
              <w:t>+ 0.94 g/L</w:t>
            </w:r>
          </w:p>
        </w:tc>
      </w:tr>
      <w:tr w:rsidR="00DA6A32" w:rsidTr="00026981">
        <w:tblPrEx>
          <w:tblCellMar>
            <w:top w:w="0" w:type="dxa"/>
            <w:bottom w:w="0" w:type="dxa"/>
          </w:tblCellMar>
        </w:tblPrEx>
        <w:tc>
          <w:tcPr>
            <w:tcW w:w="2268" w:type="dxa"/>
          </w:tcPr>
          <w:p w:rsidR="00DA6A32" w:rsidRDefault="00DA6A32" w:rsidP="00026981">
            <w:pPr>
              <w:rPr>
                <w:sz w:val="20"/>
              </w:rPr>
            </w:pPr>
            <w:r>
              <w:rPr>
                <w:sz w:val="20"/>
              </w:rPr>
              <w:t>Hemoglobinas</w:t>
            </w:r>
          </w:p>
        </w:tc>
        <w:tc>
          <w:tcPr>
            <w:tcW w:w="3261" w:type="dxa"/>
          </w:tcPr>
          <w:p w:rsidR="00DA6A32" w:rsidRDefault="00DA6A32" w:rsidP="00026981">
            <w:pPr>
              <w:jc w:val="center"/>
              <w:rPr>
                <w:sz w:val="20"/>
              </w:rPr>
            </w:pPr>
            <w:r>
              <w:rPr>
                <w:sz w:val="20"/>
              </w:rPr>
              <w:t xml:space="preserve">7.8 </w:t>
            </w:r>
            <w:r>
              <w:rPr>
                <w:sz w:val="20"/>
              </w:rPr>
              <w:sym w:font="Symbol" w:char="F06D"/>
            </w:r>
            <w:r>
              <w:rPr>
                <w:sz w:val="20"/>
              </w:rPr>
              <w:t>mol/L</w:t>
            </w:r>
          </w:p>
        </w:tc>
        <w:tc>
          <w:tcPr>
            <w:tcW w:w="2268" w:type="dxa"/>
          </w:tcPr>
          <w:p w:rsidR="00DA6A32" w:rsidRDefault="00DA6A32" w:rsidP="00026981">
            <w:pPr>
              <w:jc w:val="center"/>
              <w:rPr>
                <w:sz w:val="20"/>
              </w:rPr>
            </w:pPr>
            <w:r>
              <w:rPr>
                <w:sz w:val="20"/>
              </w:rPr>
              <w:t>0.23 g/L</w:t>
            </w:r>
          </w:p>
        </w:tc>
        <w:tc>
          <w:tcPr>
            <w:tcW w:w="1842" w:type="dxa"/>
          </w:tcPr>
          <w:p w:rsidR="00DA6A32" w:rsidRDefault="00DA6A32" w:rsidP="00026981">
            <w:pPr>
              <w:jc w:val="center"/>
              <w:rPr>
                <w:sz w:val="20"/>
              </w:rPr>
            </w:pPr>
            <w:r>
              <w:rPr>
                <w:sz w:val="20"/>
              </w:rPr>
              <w:t>+ 0.50 g/L</w:t>
            </w:r>
          </w:p>
        </w:tc>
      </w:tr>
      <w:tr w:rsidR="00DA6A32" w:rsidTr="00026981">
        <w:tblPrEx>
          <w:tblCellMar>
            <w:top w:w="0" w:type="dxa"/>
            <w:bottom w:w="0" w:type="dxa"/>
          </w:tblCellMar>
        </w:tblPrEx>
        <w:tc>
          <w:tcPr>
            <w:tcW w:w="2268" w:type="dxa"/>
          </w:tcPr>
          <w:p w:rsidR="00DA6A32" w:rsidRDefault="00DA6A32" w:rsidP="00026981">
            <w:pPr>
              <w:rPr>
                <w:sz w:val="20"/>
              </w:rPr>
            </w:pPr>
            <w:r>
              <w:rPr>
                <w:sz w:val="20"/>
              </w:rPr>
              <w:t>NaCl</w:t>
            </w:r>
          </w:p>
        </w:tc>
        <w:tc>
          <w:tcPr>
            <w:tcW w:w="3261" w:type="dxa"/>
          </w:tcPr>
          <w:p w:rsidR="00DA6A32" w:rsidRDefault="00DA6A32" w:rsidP="00026981">
            <w:pPr>
              <w:jc w:val="center"/>
              <w:rPr>
                <w:sz w:val="20"/>
              </w:rPr>
            </w:pPr>
            <w:r>
              <w:rPr>
                <w:sz w:val="20"/>
              </w:rPr>
              <w:t>400 mmol/L</w:t>
            </w:r>
          </w:p>
        </w:tc>
        <w:tc>
          <w:tcPr>
            <w:tcW w:w="2268" w:type="dxa"/>
          </w:tcPr>
          <w:p w:rsidR="00DA6A32" w:rsidRDefault="00DA6A32" w:rsidP="00026981">
            <w:pPr>
              <w:jc w:val="center"/>
              <w:rPr>
                <w:sz w:val="20"/>
              </w:rPr>
            </w:pPr>
            <w:r>
              <w:rPr>
                <w:sz w:val="20"/>
              </w:rPr>
              <w:t>0.21 g/L</w:t>
            </w:r>
          </w:p>
        </w:tc>
        <w:tc>
          <w:tcPr>
            <w:tcW w:w="1842" w:type="dxa"/>
          </w:tcPr>
          <w:p w:rsidR="00DA6A32" w:rsidRDefault="00DA6A32" w:rsidP="00026981">
            <w:pPr>
              <w:jc w:val="center"/>
              <w:rPr>
                <w:sz w:val="20"/>
              </w:rPr>
            </w:pPr>
            <w:r>
              <w:rPr>
                <w:sz w:val="20"/>
              </w:rPr>
              <w:t>+ 0.12 g/L</w:t>
            </w:r>
          </w:p>
        </w:tc>
      </w:tr>
    </w:tbl>
    <w:p w:rsidR="001E1F4F" w:rsidRDefault="001E1F4F">
      <w:bookmarkStart w:id="0" w:name="_GoBack"/>
      <w:bookmarkEnd w:id="0"/>
    </w:p>
    <w:sectPr w:rsidR="001E1F4F" w:rsidSect="00DA6A32">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32"/>
    <w:rsid w:val="001E1F4F"/>
    <w:rsid w:val="00DA6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32"/>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DA6A32"/>
    <w:pPr>
      <w:keepNext/>
      <w:jc w:val="left"/>
      <w:outlineLvl w:val="0"/>
    </w:pPr>
    <w:rPr>
      <w:b/>
      <w:sz w:val="32"/>
    </w:rPr>
  </w:style>
  <w:style w:type="paragraph" w:styleId="Heading2">
    <w:name w:val="heading 2"/>
    <w:basedOn w:val="Normal"/>
    <w:next w:val="Normal"/>
    <w:link w:val="Heading2Char"/>
    <w:qFormat/>
    <w:rsid w:val="00DA6A32"/>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A32"/>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DA6A32"/>
    <w:rPr>
      <w:rFonts w:ascii="Times New Roman" w:eastAsia="Times New Roman" w:hAnsi="Times New Roman" w:cs="Times New Roman"/>
      <w:b/>
      <w:sz w:val="28"/>
      <w:szCs w:val="20"/>
    </w:rPr>
  </w:style>
  <w:style w:type="paragraph" w:styleId="BodyText2">
    <w:name w:val="Body Text 2"/>
    <w:basedOn w:val="Normal"/>
    <w:link w:val="BodyText2Char"/>
    <w:rsid w:val="00DA6A32"/>
    <w:rPr>
      <w:sz w:val="20"/>
    </w:rPr>
  </w:style>
  <w:style w:type="character" w:customStyle="1" w:styleId="BodyText2Char">
    <w:name w:val="Body Text 2 Char"/>
    <w:basedOn w:val="DefaultParagraphFont"/>
    <w:link w:val="BodyText2"/>
    <w:rsid w:val="00DA6A32"/>
    <w:rPr>
      <w:rFonts w:ascii="Times New Roman" w:eastAsia="Times New Roman" w:hAnsi="Times New Roman" w:cs="Times New Roman"/>
      <w:sz w:val="20"/>
      <w:szCs w:val="20"/>
    </w:rPr>
  </w:style>
  <w:style w:type="paragraph" w:styleId="BodyTextIndent2">
    <w:name w:val="Body Text Indent 2"/>
    <w:basedOn w:val="Normal"/>
    <w:link w:val="BodyTextIndent2Char"/>
    <w:rsid w:val="00DA6A32"/>
    <w:pPr>
      <w:ind w:firstLine="720"/>
    </w:pPr>
  </w:style>
  <w:style w:type="character" w:customStyle="1" w:styleId="BodyTextIndent2Char">
    <w:name w:val="Body Text Indent 2 Char"/>
    <w:basedOn w:val="DefaultParagraphFont"/>
    <w:link w:val="BodyTextIndent2"/>
    <w:rsid w:val="00DA6A3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A32"/>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DA6A32"/>
    <w:pPr>
      <w:keepNext/>
      <w:jc w:val="left"/>
      <w:outlineLvl w:val="0"/>
    </w:pPr>
    <w:rPr>
      <w:b/>
      <w:sz w:val="32"/>
    </w:rPr>
  </w:style>
  <w:style w:type="paragraph" w:styleId="Heading2">
    <w:name w:val="heading 2"/>
    <w:basedOn w:val="Normal"/>
    <w:next w:val="Normal"/>
    <w:link w:val="Heading2Char"/>
    <w:qFormat/>
    <w:rsid w:val="00DA6A32"/>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A32"/>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DA6A32"/>
    <w:rPr>
      <w:rFonts w:ascii="Times New Roman" w:eastAsia="Times New Roman" w:hAnsi="Times New Roman" w:cs="Times New Roman"/>
      <w:b/>
      <w:sz w:val="28"/>
      <w:szCs w:val="20"/>
    </w:rPr>
  </w:style>
  <w:style w:type="paragraph" w:styleId="BodyText2">
    <w:name w:val="Body Text 2"/>
    <w:basedOn w:val="Normal"/>
    <w:link w:val="BodyText2Char"/>
    <w:rsid w:val="00DA6A32"/>
    <w:rPr>
      <w:sz w:val="20"/>
    </w:rPr>
  </w:style>
  <w:style w:type="character" w:customStyle="1" w:styleId="BodyText2Char">
    <w:name w:val="Body Text 2 Char"/>
    <w:basedOn w:val="DefaultParagraphFont"/>
    <w:link w:val="BodyText2"/>
    <w:rsid w:val="00DA6A32"/>
    <w:rPr>
      <w:rFonts w:ascii="Times New Roman" w:eastAsia="Times New Roman" w:hAnsi="Times New Roman" w:cs="Times New Roman"/>
      <w:sz w:val="20"/>
      <w:szCs w:val="20"/>
    </w:rPr>
  </w:style>
  <w:style w:type="paragraph" w:styleId="BodyTextIndent2">
    <w:name w:val="Body Text Indent 2"/>
    <w:basedOn w:val="Normal"/>
    <w:link w:val="BodyTextIndent2Char"/>
    <w:rsid w:val="00DA6A32"/>
    <w:pPr>
      <w:ind w:firstLine="720"/>
    </w:pPr>
  </w:style>
  <w:style w:type="character" w:customStyle="1" w:styleId="BodyTextIndent2Char">
    <w:name w:val="Body Text Indent 2 Char"/>
    <w:basedOn w:val="DefaultParagraphFont"/>
    <w:link w:val="BodyTextIndent2"/>
    <w:rsid w:val="00DA6A3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1315</Words>
  <Characters>750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Danute</dc:creator>
  <cp:lastModifiedBy>Danute</cp:lastModifiedBy>
  <cp:revision>1</cp:revision>
  <dcterms:created xsi:type="dcterms:W3CDTF">2015-06-11T12:00:00Z</dcterms:created>
  <dcterms:modified xsi:type="dcterms:W3CDTF">2015-06-11T12:00:00Z</dcterms:modified>
</cp:coreProperties>
</file>