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sekcijinio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TP/_layouts/15/DocIdRedir.aspx?ID=PVIS-182865233-115</Url>
      <Description>PVIS-182865233-115</Description>
    </_dlc_DocIdUrl>
    <Nuoseklūs xmlns="58896280-883f-49e1-8f2c-86b01e3ff616">
      <UserInfo>
        <DisplayName/>
        <AccountId xsi:nil="true"/>
        <AccountType/>
      </UserInfo>
    </Nuoseklūs>
    <_dlc_DocId xmlns="58896280-883f-49e1-8f2c-86b01e3ff616">PVIS-182865233-115</_dlc_DocId>
    <_dlc_DocIdPersistId xmlns="58896280-883f-49e1-8f2c-86b01e3ff616" xsi:nil="true"/>
  </documentManagement>
</p:properties>
</file>

<file path=customXml/itemProps1.xml><?xml version="1.0" encoding="utf-8"?>
<ds:datastoreItem xmlns:ds="http://schemas.openxmlformats.org/officeDocument/2006/customXml" ds:itemID="{82B6407E-C846-47F4-8C77-88AD26702745}"/>
</file>

<file path=customXml/itemProps2.xml><?xml version="1.0" encoding="utf-8"?>
<ds:datastoreItem xmlns:ds="http://schemas.openxmlformats.org/officeDocument/2006/customXml" ds:itemID="{31C0BA20-A4F0-4B7D-BF15-4EB1DA8987C8}"/>
</file>

<file path=customXml/itemProps3.xml><?xml version="1.0" encoding="utf-8"?>
<ds:datastoreItem xmlns:ds="http://schemas.openxmlformats.org/officeDocument/2006/customXml" ds:itemID="{023995CF-93AF-4A66-9960-CB3E02F1DF51}"/>
</file>

<file path=customXml/itemProps4.xml><?xml version="1.0" encoding="utf-8"?>
<ds:datastoreItem xmlns:ds="http://schemas.openxmlformats.org/officeDocument/2006/customXml" ds:itemID="{0C1CD75C-B169-4A47-B2D7-BD4BBB5E716C}"/>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Edvardas Lebedžinskas</cp:lastModifiedBy>
  <cp:revision>2</cp:revision>
  <dcterms:created xsi:type="dcterms:W3CDTF">2023-01-31T07:19:00Z</dcterms:created>
  <dcterms:modified xsi:type="dcterms:W3CDTF">2023-01-31T07:19:00Z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0x01010066872F3CC8F7D84995438B893169A08002000B4807D8603A3D4094B83FC1C33DDE4F</vt:lpwstr>
  </property>
  <property fmtid="{D5CDD505-2E9C-101B-9397-08002B2CF9AE}" pid="10" name="_dlc_DocIdItemGuid">
    <vt:lpwstr>f818deed-672f-4a16-97eb-3c8587f02b44</vt:lpwstr>
  </property>
</Properties>
</file>