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Energy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</w:t>
            </w:r>
            <w:proofErr w:type="spellStart"/>
            <w:r w:rsidR="001502C7" w:rsidRPr="005F2E11">
              <w:t>Energy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7112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A57DC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11260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TP/_layouts/15/DocIdRedir.aspx?ID=PVIS-182865233-126</Url>
      <Description>PVIS-182865233-126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9EBB3-A1BD-4291-9FA0-5DCDB0ECB5F7}"/>
</file>

<file path=customXml/itemProps3.xml><?xml version="1.0" encoding="utf-8"?>
<ds:datastoreItem xmlns:ds="http://schemas.openxmlformats.org/officeDocument/2006/customXml" ds:itemID="{2E565C39-8E5D-4149-AC19-54C38FE7C744}"/>
</file>

<file path=customXml/itemProps4.xml><?xml version="1.0" encoding="utf-8"?>
<ds:datastoreItem xmlns:ds="http://schemas.openxmlformats.org/officeDocument/2006/customXml" ds:itemID="{046644A5-669D-460F-8FC8-1F09E587A20F}"/>
</file>

<file path=customXml/itemProps5.xml><?xml version="1.0" encoding="utf-8"?>
<ds:datastoreItem xmlns:ds="http://schemas.openxmlformats.org/officeDocument/2006/customXml" ds:itemID="{B1E6368E-EAA5-4C12-B0F4-079C41730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Linas Venckus</cp:lastModifiedBy>
  <cp:revision>2</cp:revision>
  <cp:lastPrinted>2016-12-19T11:51:00Z</cp:lastPrinted>
  <dcterms:created xsi:type="dcterms:W3CDTF">2024-01-25T07:22:00Z</dcterms:created>
  <dcterms:modified xsi:type="dcterms:W3CDTF">2024-01-25T07:22:00Z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35e3a28c-6e65-4603-b63f-dc34dfbfef1a</vt:lpwstr>
  </property>
</Properties>
</file>