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4A7D62">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4A7D62">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4A7D62">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4A7D62">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4A7D62">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4A7D62">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4A7D62"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4A7D62"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4A7D62"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4A7D62"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https://projektai.intranet.litgrid.eu/PWA/Suginčių TP/_layouts/15/DocIdRedir.aspx?ID=PVIS-283017957-216</Url>
      <Description>PVIS-283017957-216</Description>
    </_dlc_DocIdUrl>
    <Nuoseklūs xmlns="58896280-883f-49e1-8f2c-86b01e3ff616">
      <UserInfo>
        <DisplayName/>
        <AccountId xsi:nil="true"/>
        <AccountType/>
      </UserInfo>
    </Nuoseklūs>
    <_dlc_DocId xmlns="58896280-883f-49e1-8f2c-86b01e3ff616">PVIS-283017957-216</_dlc_DocId>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A7F75C6B-1062-4C75-ACD7-D9A87CEFA034}"/>
</file>

<file path=customXml/itemProps3.xml><?xml version="1.0" encoding="utf-8"?>
<ds:datastoreItem xmlns:ds="http://schemas.openxmlformats.org/officeDocument/2006/customXml" ds:itemID="{754F9A39-582E-48A9-B25C-756E891EA70E}"/>
</file>

<file path=customXml/itemProps4.xml><?xml version="1.0" encoding="utf-8"?>
<ds:datastoreItem xmlns:ds="http://schemas.openxmlformats.org/officeDocument/2006/customXml" ds:itemID="{9E265B5D-8125-49B9-9E2C-9FDB97C46D0B}"/>
</file>

<file path=customXml/itemProps5.xml><?xml version="1.0" encoding="utf-8"?>
<ds:datastoreItem xmlns:ds="http://schemas.openxmlformats.org/officeDocument/2006/customXml" ds:itemID="{C1376202-C71B-472B-BF6E-9B053E03D268}"/>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Živilė Razulevičiūtė</cp:lastModifiedBy>
  <cp:revision>2</cp:revision>
  <cp:lastPrinted>2019-10-22T11:35:00Z</cp:lastPrinted>
  <dcterms:created xsi:type="dcterms:W3CDTF">2021-08-16T12:18:00Z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0x01010066872F3CC8F7D84995438B893169A08002000552DF84EB57854292D75C4B2B2D23A6</vt:lpwstr>
  </property>
  <property fmtid="{D5CDD505-2E9C-101B-9397-08002B2CF9AE}" pid="3" name="_dlc_DocIdItemGuid">
    <vt:lpwstr>48486c9f-8b35-4ffc-abd3-9153aa6eac9d</vt:lpwstr>
  </property>
</Properties>
</file>