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(I</w:t>
            </w:r>
            <w:r w:rsidRPr="00FE0691">
              <w:rPr>
                <w:rFonts w:ascii="Trebuchet MS" w:hAnsi="Trebuchet MS" w:cs="Arial"/>
                <w:sz w:val="18"/>
                <w:szCs w:val="22"/>
                <w:vertAlign w:val="subscript"/>
                <w:lang w:val="en-US"/>
              </w:rPr>
              <w:t>r</w:t>
            </w:r>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r w:rsidRPr="00FE0691">
              <w:rPr>
                <w:rFonts w:ascii="Trebuchet MS" w:hAnsi="Trebuchet MS" w:cs="Arial"/>
                <w:sz w:val="18"/>
                <w:szCs w:val="18"/>
              </w:rPr>
              <w:t>;</w:t>
            </w:r>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(I</w:t>
            </w:r>
            <w:r w:rsidRPr="00FE0691">
              <w:rPr>
                <w:rFonts w:ascii="Trebuchet MS" w:hAnsi="Trebuchet MS" w:cs="Arial"/>
                <w:sz w:val="18"/>
                <w:szCs w:val="22"/>
                <w:vertAlign w:val="subscript"/>
                <w:lang w:val="en-US"/>
              </w:rPr>
              <w:t>r</w:t>
            </w:r>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D4FE2" w14:textId="77777777" w:rsidR="00691E73" w:rsidRDefault="00691E73" w:rsidP="009137D7">
      <w:r>
        <w:separator/>
      </w:r>
    </w:p>
  </w:endnote>
  <w:endnote w:type="continuationSeparator" w:id="0">
    <w:p w14:paraId="0EEF5667" w14:textId="77777777" w:rsidR="00691E73" w:rsidRDefault="00691E73"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9975A" w14:textId="77777777" w:rsidR="00691E73" w:rsidRDefault="00691E73" w:rsidP="009137D7">
      <w:r>
        <w:separator/>
      </w:r>
    </w:p>
  </w:footnote>
  <w:footnote w:type="continuationSeparator" w:id="0">
    <w:p w14:paraId="35779A9A" w14:textId="77777777" w:rsidR="00691E73" w:rsidRDefault="00691E73"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011561">
    <w:abstractNumId w:val="11"/>
  </w:num>
  <w:num w:numId="2" w16cid:durableId="623662077">
    <w:abstractNumId w:val="5"/>
  </w:num>
  <w:num w:numId="3" w16cid:durableId="1594509793">
    <w:abstractNumId w:val="6"/>
  </w:num>
  <w:num w:numId="4" w16cid:durableId="541209434">
    <w:abstractNumId w:val="19"/>
  </w:num>
  <w:num w:numId="5" w16cid:durableId="1987079385">
    <w:abstractNumId w:val="2"/>
  </w:num>
  <w:num w:numId="6" w16cid:durableId="878516194">
    <w:abstractNumId w:val="16"/>
  </w:num>
  <w:num w:numId="7" w16cid:durableId="1497456731">
    <w:abstractNumId w:val="17"/>
  </w:num>
  <w:num w:numId="8" w16cid:durableId="33120734">
    <w:abstractNumId w:val="27"/>
  </w:num>
  <w:num w:numId="9" w16cid:durableId="243993353">
    <w:abstractNumId w:val="29"/>
  </w:num>
  <w:num w:numId="10" w16cid:durableId="1448112848">
    <w:abstractNumId w:val="9"/>
  </w:num>
  <w:num w:numId="11" w16cid:durableId="351416997">
    <w:abstractNumId w:val="30"/>
  </w:num>
  <w:num w:numId="12" w16cid:durableId="1568148955">
    <w:abstractNumId w:val="21"/>
  </w:num>
  <w:num w:numId="13" w16cid:durableId="947467259">
    <w:abstractNumId w:val="8"/>
  </w:num>
  <w:num w:numId="14" w16cid:durableId="1975408076">
    <w:abstractNumId w:val="15"/>
  </w:num>
  <w:num w:numId="15" w16cid:durableId="312103399">
    <w:abstractNumId w:val="20"/>
  </w:num>
  <w:num w:numId="16" w16cid:durableId="386421685">
    <w:abstractNumId w:val="23"/>
  </w:num>
  <w:num w:numId="17" w16cid:durableId="1216895690">
    <w:abstractNumId w:val="0"/>
  </w:num>
  <w:num w:numId="18" w16cid:durableId="560678328">
    <w:abstractNumId w:val="33"/>
  </w:num>
  <w:num w:numId="19" w16cid:durableId="943339858">
    <w:abstractNumId w:val="26"/>
  </w:num>
  <w:num w:numId="20" w16cid:durableId="351928675">
    <w:abstractNumId w:val="31"/>
  </w:num>
  <w:num w:numId="21" w16cid:durableId="294917394">
    <w:abstractNumId w:val="25"/>
  </w:num>
  <w:num w:numId="22" w16cid:durableId="574900894">
    <w:abstractNumId w:val="1"/>
  </w:num>
  <w:num w:numId="23" w16cid:durableId="654382343">
    <w:abstractNumId w:val="12"/>
  </w:num>
  <w:num w:numId="24" w16cid:durableId="16927384">
    <w:abstractNumId w:val="13"/>
  </w:num>
  <w:num w:numId="25" w16cid:durableId="1273395466">
    <w:abstractNumId w:val="7"/>
  </w:num>
  <w:num w:numId="26" w16cid:durableId="1837574639">
    <w:abstractNumId w:val="32"/>
  </w:num>
  <w:num w:numId="27" w16cid:durableId="1862432260">
    <w:abstractNumId w:val="24"/>
  </w:num>
  <w:num w:numId="28" w16cid:durableId="1000892956">
    <w:abstractNumId w:val="28"/>
  </w:num>
  <w:num w:numId="29" w16cid:durableId="121965656">
    <w:abstractNumId w:val="22"/>
  </w:num>
  <w:num w:numId="30" w16cid:durableId="888807491">
    <w:abstractNumId w:val="18"/>
  </w:num>
  <w:num w:numId="31" w16cid:durableId="809975353">
    <w:abstractNumId w:val="10"/>
  </w:num>
  <w:num w:numId="32" w16cid:durableId="915438569">
    <w:abstractNumId w:val="3"/>
  </w:num>
  <w:num w:numId="33" w16cid:durableId="342240892">
    <w:abstractNumId w:val="4"/>
  </w:num>
  <w:num w:numId="34" w16cid:durableId="1521972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91E73"/>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2581C"/>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1EC"/>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186"/>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PVIS-283017957-157</_dlc_DocId>
    <_dlc_DocIdUrl xmlns="58896280-883f-49e1-8f2c-86b01e3ff616">
      <Url>https://projektai.intranet.litgrid.eu/PWA/Suginčių TP/_layouts/15/DocIdRedir.aspx?ID=PVIS-283017957-157</Url>
      <Description>PVIS-283017957-157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7E437331-FCCF-4643-BF20-A97F35DBD959}"/>
</file>

<file path=customXml/itemProps3.xml><?xml version="1.0" encoding="utf-8"?>
<ds:datastoreItem xmlns:ds="http://schemas.openxmlformats.org/officeDocument/2006/customXml" ds:itemID="{4A9FAC4A-2842-402C-96EE-797BC23C7545}"/>
</file>

<file path=customXml/itemProps4.xml><?xml version="1.0" encoding="utf-8"?>
<ds:datastoreItem xmlns:ds="http://schemas.openxmlformats.org/officeDocument/2006/customXml" ds:itemID="{FD58A2A4-5454-4AC6-9F47-99679A16EFBF}"/>
</file>

<file path=customXml/itemProps5.xml><?xml version="1.0" encoding="utf-8"?>
<ds:datastoreItem xmlns:ds="http://schemas.openxmlformats.org/officeDocument/2006/customXml" ds:itemID="{5036169A-0141-4616-B918-01005DF9D53D}"/>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Romanas Mikalauskas</cp:lastModifiedBy>
  <cp:revision>3</cp:revision>
  <cp:lastPrinted>2019-11-13T13:11:00Z</cp:lastPrinted>
  <dcterms:created xsi:type="dcterms:W3CDTF">2021-01-07T13:26:00Z</dcterms:created>
  <dcterms:modified xsi:type="dcterms:W3CDTF">2024-07-30T05:19:00Z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2024-07-30T05:18:23Z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9b43f689-0d03-4882-9cf1-395b19e69de2</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f4322fc0-58b6-464b-a92e-d225831c8f41</vt:lpwstr>
  </property>
</Properties>
</file>