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DBAFD" w14:textId="77777777" w:rsidR="003F7779" w:rsidRPr="004338BB" w:rsidRDefault="003F7779" w:rsidP="002C25E7">
      <w:pPr>
        <w:pStyle w:val="Antrat"/>
        <w:spacing w:line="312" w:lineRule="auto"/>
        <w:rPr>
          <w:sz w:val="24"/>
        </w:rPr>
      </w:pPr>
      <w:r w:rsidRPr="004338BB">
        <w:rPr>
          <w:color w:val="0000FF"/>
          <w:sz w:val="24"/>
        </w:rPr>
        <w:object w:dxaOrig="4620" w:dyaOrig="5445" w14:anchorId="37BF0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1.4pt" o:ole="" fillcolor="window">
            <v:imagedata r:id="rId8" o:title=""/>
          </v:shape>
          <o:OLEObject Type="Embed" ProgID="PBrush" ShapeID="_x0000_i1025" DrawAspect="Content" ObjectID="_1745326359" r:id="rId9"/>
        </w:object>
      </w:r>
    </w:p>
    <w:p w14:paraId="213B803C" w14:textId="77777777" w:rsidR="003F7779" w:rsidRPr="004338BB" w:rsidRDefault="003F7779" w:rsidP="002C25E7">
      <w:pPr>
        <w:pStyle w:val="Antrat"/>
        <w:spacing w:line="312" w:lineRule="auto"/>
        <w:rPr>
          <w:sz w:val="24"/>
        </w:rPr>
      </w:pPr>
    </w:p>
    <w:p w14:paraId="02B34F3F" w14:textId="77777777" w:rsidR="003F7779" w:rsidRPr="004338BB" w:rsidRDefault="003F7779" w:rsidP="002C25E7">
      <w:pPr>
        <w:pStyle w:val="Antrat"/>
        <w:spacing w:line="312" w:lineRule="auto"/>
        <w:rPr>
          <w:sz w:val="24"/>
        </w:rPr>
      </w:pPr>
      <w:r w:rsidRPr="004338BB">
        <w:rPr>
          <w:sz w:val="24"/>
        </w:rPr>
        <w:t>INFORMATIKOS IR RYŠIŲ DEPARTAMENTAS</w:t>
      </w:r>
    </w:p>
    <w:p w14:paraId="33F3E85F" w14:textId="77777777" w:rsidR="003F7779" w:rsidRPr="004338BB" w:rsidRDefault="003F7779" w:rsidP="002C25E7">
      <w:pPr>
        <w:pStyle w:val="Antrat"/>
        <w:spacing w:line="312" w:lineRule="auto"/>
        <w:rPr>
          <w:sz w:val="24"/>
        </w:rPr>
      </w:pPr>
      <w:r w:rsidRPr="004338BB">
        <w:rPr>
          <w:sz w:val="24"/>
        </w:rPr>
        <w:t>PRIE LIETUVOS RESPUBLIKOS VIDAUS REIKALŲ MINISTERIJOS</w:t>
      </w:r>
    </w:p>
    <w:p w14:paraId="2F265F1B" w14:textId="77777777" w:rsidR="003F7779" w:rsidRPr="004338BB" w:rsidRDefault="003F7779" w:rsidP="002C25E7">
      <w:pPr>
        <w:spacing w:line="312" w:lineRule="auto"/>
        <w:jc w:val="center"/>
        <w:rPr>
          <w:sz w:val="20"/>
        </w:rPr>
      </w:pPr>
    </w:p>
    <w:p w14:paraId="6E1B4A13" w14:textId="77777777" w:rsidR="003F7779" w:rsidRPr="004338BB" w:rsidRDefault="003F7779" w:rsidP="002C25E7">
      <w:pPr>
        <w:pStyle w:val="Antrat1"/>
        <w:pBdr>
          <w:bottom w:val="single" w:sz="4" w:space="1" w:color="auto"/>
        </w:pBdr>
        <w:spacing w:line="312" w:lineRule="auto"/>
        <w:rPr>
          <w:b w:val="0"/>
          <w:bCs w:val="0"/>
          <w:szCs w:val="20"/>
        </w:rPr>
      </w:pPr>
      <w:r w:rsidRPr="004338BB">
        <w:rPr>
          <w:b w:val="0"/>
          <w:bCs w:val="0"/>
          <w:szCs w:val="20"/>
        </w:rPr>
        <w:t xml:space="preserve">Biudžetinė įstaiga, Šventaragio g. 2, LT-01510 Vilnius, tel. (8 5) 271 7177, el. p.  </w:t>
      </w:r>
      <w:hyperlink r:id="rId10" w:history="1">
        <w:r w:rsidRPr="004338BB">
          <w:rPr>
            <w:rStyle w:val="Hipersaitas"/>
            <w:b w:val="0"/>
            <w:bCs w:val="0"/>
            <w:color w:val="000000"/>
            <w:szCs w:val="20"/>
          </w:rPr>
          <w:t>ird@vrm.lt</w:t>
        </w:r>
      </w:hyperlink>
    </w:p>
    <w:p w14:paraId="27F5AEBE" w14:textId="77777777" w:rsidR="003F7779" w:rsidRPr="004338BB" w:rsidRDefault="003F7779" w:rsidP="002C25E7">
      <w:pPr>
        <w:pStyle w:val="Antrat1"/>
        <w:pBdr>
          <w:bottom w:val="single" w:sz="4" w:space="1" w:color="auto"/>
        </w:pBdr>
        <w:spacing w:line="312" w:lineRule="auto"/>
        <w:rPr>
          <w:b w:val="0"/>
          <w:bCs w:val="0"/>
          <w:szCs w:val="20"/>
        </w:rPr>
      </w:pPr>
      <w:r w:rsidRPr="004338BB">
        <w:rPr>
          <w:b w:val="0"/>
          <w:bCs w:val="0"/>
          <w:szCs w:val="20"/>
        </w:rPr>
        <w:t>Duomenys kaupiami ir saugomi Juridinių asmenų registre, kodas 188774822</w:t>
      </w:r>
    </w:p>
    <w:p w14:paraId="173D81F9" w14:textId="77777777" w:rsidR="003F7779" w:rsidRPr="004338BB" w:rsidRDefault="003F7779" w:rsidP="002C25E7">
      <w:pPr>
        <w:spacing w:line="312" w:lineRule="auto"/>
      </w:pPr>
    </w:p>
    <w:tbl>
      <w:tblPr>
        <w:tblW w:w="9824" w:type="dxa"/>
        <w:tblLayout w:type="fixed"/>
        <w:tblLook w:val="0000" w:firstRow="0" w:lastRow="0" w:firstColumn="0" w:lastColumn="0" w:noHBand="0" w:noVBand="0"/>
      </w:tblPr>
      <w:tblGrid>
        <w:gridCol w:w="4820"/>
        <w:gridCol w:w="504"/>
        <w:gridCol w:w="600"/>
        <w:gridCol w:w="1560"/>
        <w:gridCol w:w="2340"/>
      </w:tblGrid>
      <w:tr w:rsidR="0047712B" w:rsidRPr="004338BB" w14:paraId="6C03F91A" w14:textId="77777777" w:rsidTr="00353AAA">
        <w:tc>
          <w:tcPr>
            <w:tcW w:w="4820" w:type="dxa"/>
          </w:tcPr>
          <w:p w14:paraId="2DAFE3DB" w14:textId="77777777" w:rsidR="00042619" w:rsidRDefault="00042619" w:rsidP="00042619">
            <w:r>
              <w:t>UAB „CGI Lithuania“</w:t>
            </w:r>
          </w:p>
          <w:p w14:paraId="4FC51D74" w14:textId="77777777" w:rsidR="0047712B" w:rsidRPr="0028546E" w:rsidRDefault="00042619" w:rsidP="00042619">
            <w:r>
              <w:t xml:space="preserve">El. p. info.lithuania@cgi.com   </w:t>
            </w:r>
          </w:p>
          <w:p w14:paraId="5807BD43" w14:textId="77777777" w:rsidR="0047712B" w:rsidRPr="005C6593" w:rsidRDefault="0047712B" w:rsidP="0047712B">
            <w:pPr>
              <w:rPr>
                <w:noProof/>
              </w:rPr>
            </w:pPr>
          </w:p>
        </w:tc>
        <w:tc>
          <w:tcPr>
            <w:tcW w:w="504" w:type="dxa"/>
          </w:tcPr>
          <w:p w14:paraId="3BF4902D" w14:textId="77777777" w:rsidR="0047712B" w:rsidRPr="004338BB" w:rsidRDefault="0047712B" w:rsidP="0047712B">
            <w:pPr>
              <w:pStyle w:val="Antrats"/>
              <w:tabs>
                <w:tab w:val="clear" w:pos="4153"/>
                <w:tab w:val="clear" w:pos="8306"/>
              </w:tabs>
              <w:spacing w:line="312" w:lineRule="auto"/>
            </w:pPr>
          </w:p>
        </w:tc>
        <w:tc>
          <w:tcPr>
            <w:tcW w:w="600" w:type="dxa"/>
          </w:tcPr>
          <w:p w14:paraId="304BEA36" w14:textId="77777777" w:rsidR="0047712B" w:rsidRPr="004338BB" w:rsidRDefault="0047712B" w:rsidP="0047712B">
            <w:pPr>
              <w:pStyle w:val="Antrats"/>
              <w:tabs>
                <w:tab w:val="clear" w:pos="4153"/>
                <w:tab w:val="clear" w:pos="8306"/>
              </w:tabs>
              <w:spacing w:line="312" w:lineRule="auto"/>
              <w:jc w:val="right"/>
            </w:pPr>
          </w:p>
          <w:p w14:paraId="6B64E79D" w14:textId="77777777" w:rsidR="0047712B" w:rsidRPr="004338BB" w:rsidRDefault="0047712B" w:rsidP="0047712B">
            <w:pPr>
              <w:pStyle w:val="Antrats"/>
              <w:tabs>
                <w:tab w:val="clear" w:pos="4153"/>
                <w:tab w:val="clear" w:pos="8306"/>
              </w:tabs>
              <w:spacing w:line="312" w:lineRule="auto"/>
              <w:jc w:val="right"/>
            </w:pPr>
          </w:p>
        </w:tc>
        <w:tc>
          <w:tcPr>
            <w:tcW w:w="1560" w:type="dxa"/>
            <w:shd w:val="clear" w:color="auto" w:fill="auto"/>
          </w:tcPr>
          <w:p w14:paraId="1916759D" w14:textId="0BEE1F40" w:rsidR="0047712B" w:rsidRPr="004338BB" w:rsidRDefault="00362121" w:rsidP="0047712B">
            <w:pPr>
              <w:pStyle w:val="Antrats"/>
              <w:tabs>
                <w:tab w:val="clear" w:pos="4153"/>
                <w:tab w:val="clear" w:pos="8306"/>
              </w:tabs>
              <w:spacing w:line="312" w:lineRule="auto"/>
            </w:pPr>
            <w:r>
              <w:t>2023</w:t>
            </w:r>
            <w:r w:rsidR="0047712B" w:rsidRPr="004338BB">
              <w:t>-</w:t>
            </w:r>
            <w:r>
              <w:t>0</w:t>
            </w:r>
            <w:r w:rsidR="00805CF7">
              <w:t>2</w:t>
            </w:r>
            <w:r>
              <w:t>-</w:t>
            </w:r>
            <w:r w:rsidR="00805CF7">
              <w:t>01</w:t>
            </w:r>
          </w:p>
          <w:p w14:paraId="0DAABA04" w14:textId="77777777" w:rsidR="0047712B" w:rsidRPr="004338BB" w:rsidRDefault="006A0456" w:rsidP="0047712B">
            <w:pPr>
              <w:pStyle w:val="Antrats"/>
              <w:tabs>
                <w:tab w:val="clear" w:pos="4153"/>
                <w:tab w:val="clear" w:pos="8306"/>
              </w:tabs>
              <w:spacing w:line="312" w:lineRule="auto"/>
            </w:pPr>
            <w:r>
              <w:t>2022-12-08</w:t>
            </w:r>
          </w:p>
        </w:tc>
        <w:tc>
          <w:tcPr>
            <w:tcW w:w="2340" w:type="dxa"/>
            <w:shd w:val="clear" w:color="auto" w:fill="auto"/>
          </w:tcPr>
          <w:p w14:paraId="69AEE4D9" w14:textId="7123F801" w:rsidR="0047712B" w:rsidRPr="004338BB" w:rsidRDefault="0047712B" w:rsidP="0047712B">
            <w:pPr>
              <w:pStyle w:val="Antrats"/>
              <w:tabs>
                <w:tab w:val="clear" w:pos="4153"/>
                <w:tab w:val="clear" w:pos="8306"/>
              </w:tabs>
              <w:spacing w:line="312" w:lineRule="auto"/>
            </w:pPr>
            <w:r w:rsidRPr="004338BB">
              <w:t xml:space="preserve">Nr. </w:t>
            </w:r>
            <w:r w:rsidR="00805CF7">
              <w:t>9R-240</w:t>
            </w:r>
          </w:p>
          <w:p w14:paraId="758E37EA" w14:textId="77777777" w:rsidR="0047712B" w:rsidRPr="004338BB" w:rsidRDefault="006A0456" w:rsidP="0047712B">
            <w:pPr>
              <w:pStyle w:val="Antrats"/>
              <w:tabs>
                <w:tab w:val="clear" w:pos="4153"/>
                <w:tab w:val="clear" w:pos="8306"/>
              </w:tabs>
              <w:spacing w:line="312" w:lineRule="auto"/>
            </w:pPr>
            <w:r>
              <w:rPr>
                <w:color w:val="000000" w:themeColor="text1"/>
                <w:szCs w:val="24"/>
              </w:rPr>
              <w:t>Nr. (1.8)S-98</w:t>
            </w:r>
          </w:p>
        </w:tc>
      </w:tr>
    </w:tbl>
    <w:p w14:paraId="6F784644" w14:textId="77777777" w:rsidR="003F7779" w:rsidRPr="004338BB" w:rsidRDefault="003F7779" w:rsidP="002C25E7">
      <w:pPr>
        <w:pStyle w:val="Antrats"/>
        <w:tabs>
          <w:tab w:val="clear" w:pos="4153"/>
          <w:tab w:val="clear" w:pos="8306"/>
        </w:tabs>
        <w:spacing w:line="312" w:lineRule="auto"/>
      </w:pPr>
    </w:p>
    <w:p w14:paraId="742C873A" w14:textId="77777777" w:rsidR="003F7779" w:rsidRPr="00E4234C" w:rsidRDefault="00362121" w:rsidP="0007323F">
      <w:pPr>
        <w:pStyle w:val="Antrats"/>
        <w:tabs>
          <w:tab w:val="clear" w:pos="4153"/>
          <w:tab w:val="clear" w:pos="8306"/>
        </w:tabs>
        <w:spacing w:line="312" w:lineRule="auto"/>
        <w:jc w:val="both"/>
        <w:rPr>
          <w:b/>
          <w:caps/>
        </w:rPr>
      </w:pPr>
      <w:r>
        <w:rPr>
          <w:b/>
        </w:rPr>
        <w:t xml:space="preserve">DĖL SUTARTIES </w:t>
      </w:r>
      <w:r w:rsidR="00C91FF8">
        <w:rPr>
          <w:b/>
        </w:rPr>
        <w:t>ĮKAINIŲ PERSKAIČIAVIMO</w:t>
      </w:r>
    </w:p>
    <w:p w14:paraId="6B4CA4E5" w14:textId="77777777" w:rsidR="00DE598A" w:rsidRPr="00E4234C" w:rsidRDefault="00DE598A" w:rsidP="0007323F">
      <w:pPr>
        <w:spacing w:line="312" w:lineRule="auto"/>
        <w:ind w:firstLine="547"/>
        <w:jc w:val="both"/>
        <w:rPr>
          <w:color w:val="000000" w:themeColor="text1"/>
          <w:szCs w:val="24"/>
        </w:rPr>
      </w:pPr>
    </w:p>
    <w:p w14:paraId="765EC386" w14:textId="77777777" w:rsidR="00C91FF8" w:rsidRDefault="00C91FF8" w:rsidP="0007323F">
      <w:pPr>
        <w:spacing w:line="312" w:lineRule="auto"/>
        <w:ind w:firstLine="547"/>
        <w:jc w:val="both"/>
        <w:rPr>
          <w:lang w:eastAsia="lt-LT"/>
        </w:rPr>
      </w:pPr>
      <w:r>
        <w:rPr>
          <w:color w:val="000000" w:themeColor="text1"/>
          <w:szCs w:val="24"/>
        </w:rPr>
        <w:t xml:space="preserve">Atsakydami į Jūsų 2022 m. gruodžio mėn. raštą Nr. (1.8)S-98 </w:t>
      </w:r>
      <w:r w:rsidRPr="00C91FF8">
        <w:rPr>
          <w:color w:val="000000" w:themeColor="text1"/>
          <w:szCs w:val="24"/>
        </w:rPr>
        <w:t>„Dėl sutarties pakeitimo iš esmės pasikeitus jos vykdymo aplinkybėms“</w:t>
      </w:r>
      <w:r>
        <w:rPr>
          <w:color w:val="000000" w:themeColor="text1"/>
          <w:szCs w:val="24"/>
        </w:rPr>
        <w:t xml:space="preserve">, teikiame siūlymą dėl </w:t>
      </w:r>
      <w:r w:rsidRPr="00C91FF8">
        <w:rPr>
          <w:color w:val="000000" w:themeColor="text1"/>
          <w:szCs w:val="24"/>
        </w:rPr>
        <w:t xml:space="preserve">2021 m. gruodžio 20 d. Paslaugų viešojo pirkimo-pardavimo sutarties </w:t>
      </w:r>
      <w:r>
        <w:rPr>
          <w:color w:val="000000" w:themeColor="text1"/>
          <w:szCs w:val="24"/>
        </w:rPr>
        <w:t>Nr. 15R-420 / PAR21-44 (toliau –</w:t>
      </w:r>
      <w:r w:rsidRPr="00C91FF8">
        <w:rPr>
          <w:color w:val="000000" w:themeColor="text1"/>
          <w:szCs w:val="24"/>
        </w:rPr>
        <w:t xml:space="preserve"> Sutartis) </w:t>
      </w:r>
      <w:r>
        <w:rPr>
          <w:color w:val="000000" w:themeColor="text1"/>
          <w:szCs w:val="24"/>
        </w:rPr>
        <w:t xml:space="preserve">įkainių perskaičiavimo </w:t>
      </w:r>
      <w:r>
        <w:rPr>
          <w:lang w:eastAsia="lt-LT"/>
        </w:rPr>
        <w:t xml:space="preserve">pagal Viešųjų pirkimų tarnybos rekomendacijas </w:t>
      </w:r>
      <w:r w:rsidR="004A34C3">
        <w:rPr>
          <w:lang w:eastAsia="lt-LT"/>
        </w:rPr>
        <w:t>–</w:t>
      </w:r>
      <w:r>
        <w:rPr>
          <w:lang w:eastAsia="lt-LT"/>
        </w:rPr>
        <w:t xml:space="preserve"> </w:t>
      </w:r>
      <w:r w:rsidR="004A34C3">
        <w:rPr>
          <w:lang w:eastAsia="lt-LT"/>
        </w:rPr>
        <w:t>sutartyje numatytas paslaugų teikimo kainas</w:t>
      </w:r>
      <w:r w:rsidR="004A34C3" w:rsidRPr="004A34C3">
        <w:rPr>
          <w:lang w:eastAsia="lt-LT"/>
        </w:rPr>
        <w:t xml:space="preserve"> </w:t>
      </w:r>
      <w:r w:rsidR="004A34C3">
        <w:rPr>
          <w:lang w:eastAsia="lt-LT"/>
        </w:rPr>
        <w:t xml:space="preserve">perskaičiuojant pagal </w:t>
      </w:r>
      <w:r w:rsidR="004A34C3" w:rsidRPr="004A34C3">
        <w:rPr>
          <w:lang w:eastAsia="lt-LT"/>
        </w:rPr>
        <w:t>Valstybės duomenų agentūros kas ketvirtį skelbiamo Ūkio subjektams suteiktų paslaugų kainų indekso J62. „Kompiuterių programavimo, ko</w:t>
      </w:r>
      <w:r w:rsidR="004A34C3">
        <w:rPr>
          <w:lang w:eastAsia="lt-LT"/>
        </w:rPr>
        <w:t>nsultacinė ir susijusi veikla“ pokytį, kai šis pokytis yra</w:t>
      </w:r>
      <w:r w:rsidR="004A34C3" w:rsidRPr="004A34C3">
        <w:rPr>
          <w:lang w:eastAsia="lt-LT"/>
        </w:rPr>
        <w:t xml:space="preserve"> didesnis kaip 5 %. </w:t>
      </w:r>
      <w:r w:rsidR="004A34C3">
        <w:rPr>
          <w:lang w:eastAsia="lt-LT"/>
        </w:rPr>
        <w:t>Atliekant</w:t>
      </w:r>
      <w:r w:rsidR="004A34C3" w:rsidRPr="004A34C3">
        <w:rPr>
          <w:lang w:eastAsia="lt-LT"/>
        </w:rPr>
        <w:t xml:space="preserve"> perskaičiavimą </w:t>
      </w:r>
      <w:r w:rsidR="004A34C3">
        <w:rPr>
          <w:lang w:eastAsia="lt-LT"/>
        </w:rPr>
        <w:t>reikėtų vadovautis</w:t>
      </w:r>
      <w:r w:rsidR="004A34C3" w:rsidRPr="004A34C3">
        <w:rPr>
          <w:lang w:eastAsia="lt-LT"/>
        </w:rPr>
        <w:t xml:space="preserve"> Valstybės duomenų agentūros viešai Oficialiosios statistikos portale paskelbtais Rodiklių duomenų bazės duomenimis</w:t>
      </w:r>
      <w:r w:rsidR="004A34C3">
        <w:rPr>
          <w:lang w:eastAsia="lt-LT"/>
        </w:rPr>
        <w:t xml:space="preserve"> (</w:t>
      </w:r>
      <w:hyperlink r:id="rId11" w:anchor="/" w:history="1">
        <w:r w:rsidR="004A34C3">
          <w:rPr>
            <w:rStyle w:val="Hipersaitas"/>
          </w:rPr>
          <w:t>Rodiklių duomenų bazė - Oficialiosios statistikos portalas</w:t>
        </w:r>
      </w:hyperlink>
      <w:r w:rsidR="004A34C3">
        <w:rPr>
          <w:lang w:eastAsia="lt-LT"/>
        </w:rPr>
        <w:t>)</w:t>
      </w:r>
      <w:r w:rsidR="004A34C3" w:rsidRPr="004A34C3">
        <w:rPr>
          <w:lang w:eastAsia="lt-LT"/>
        </w:rPr>
        <w:t xml:space="preserve">, </w:t>
      </w:r>
      <w:r w:rsidR="004A34C3">
        <w:rPr>
          <w:lang w:eastAsia="lt-LT"/>
        </w:rPr>
        <w:t>nereikalaujant</w:t>
      </w:r>
      <w:r w:rsidR="004A34C3" w:rsidRPr="004A34C3">
        <w:rPr>
          <w:lang w:eastAsia="lt-LT"/>
        </w:rPr>
        <w:t xml:space="preserve"> pateikti oficialaus Valstybės duomenų agentūros ar kitos institucijos išduoto dokumento ar patvirtinimo.</w:t>
      </w:r>
    </w:p>
    <w:p w14:paraId="2C7FDFE5" w14:textId="77777777" w:rsidR="0007323F" w:rsidRDefault="0007323F" w:rsidP="0007323F">
      <w:pPr>
        <w:spacing w:line="312" w:lineRule="auto"/>
        <w:ind w:firstLine="547"/>
        <w:jc w:val="both"/>
        <w:rPr>
          <w:lang w:eastAsia="lt-LT"/>
        </w:rPr>
      </w:pPr>
    </w:p>
    <w:p w14:paraId="40BD238A" w14:textId="77777777" w:rsidR="00DA1516" w:rsidRDefault="00DA1516" w:rsidP="0007323F">
      <w:pPr>
        <w:spacing w:line="312" w:lineRule="auto"/>
        <w:jc w:val="both"/>
        <w:rPr>
          <w:lang w:eastAsia="lt-LT"/>
        </w:rPr>
      </w:pPr>
      <w:r w:rsidRPr="00BF040B">
        <w:rPr>
          <w:noProof/>
          <w:lang w:eastAsia="lt-LT"/>
        </w:rPr>
        <w:drawing>
          <wp:inline distT="0" distB="0" distL="0" distR="0" wp14:anchorId="35AA66F2" wp14:editId="653C0FA7">
            <wp:extent cx="5941060" cy="1903506"/>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903506"/>
                    </a:xfrm>
                    <a:prstGeom prst="rect">
                      <a:avLst/>
                    </a:prstGeom>
                  </pic:spPr>
                </pic:pic>
              </a:graphicData>
            </a:graphic>
          </wp:inline>
        </w:drawing>
      </w:r>
    </w:p>
    <w:p w14:paraId="33094CAF" w14:textId="77777777" w:rsidR="0007323F" w:rsidRDefault="0007323F" w:rsidP="0007323F">
      <w:pPr>
        <w:spacing w:after="200" w:line="312" w:lineRule="auto"/>
        <w:rPr>
          <w:lang w:eastAsia="lt-LT"/>
        </w:rPr>
      </w:pPr>
      <w:r>
        <w:rPr>
          <w:lang w:eastAsia="lt-LT"/>
        </w:rPr>
        <w:br w:type="page"/>
      </w:r>
    </w:p>
    <w:p w14:paraId="06CFB077" w14:textId="4256A333" w:rsidR="0007323F" w:rsidRDefault="0007323F" w:rsidP="0007323F">
      <w:pPr>
        <w:spacing w:line="312" w:lineRule="auto"/>
        <w:ind w:firstLine="547"/>
        <w:jc w:val="both"/>
        <w:rPr>
          <w:lang w:eastAsia="lt-LT"/>
        </w:rPr>
      </w:pPr>
      <w:r>
        <w:rPr>
          <w:lang w:eastAsia="lt-LT"/>
        </w:rPr>
        <w:lastRenderedPageBreak/>
        <w:t xml:space="preserve">Remiantis Viešųjų pirkimų tarnybos rekomendacijomis IT paslaugų teikimo sutartyse, kurių terminas yra virš </w:t>
      </w:r>
      <w:r w:rsidR="00E92B82">
        <w:rPr>
          <w:lang w:eastAsia="lt-LT"/>
        </w:rPr>
        <w:t>6</w:t>
      </w:r>
      <w:r>
        <w:rPr>
          <w:lang w:eastAsia="lt-LT"/>
        </w:rPr>
        <w:t xml:space="preserve"> </w:t>
      </w:r>
      <w:r w:rsidR="00E92B82">
        <w:rPr>
          <w:lang w:eastAsia="lt-LT"/>
        </w:rPr>
        <w:t>mėnesių</w:t>
      </w:r>
      <w:r w:rsidR="00242656">
        <w:rPr>
          <w:lang w:eastAsia="lt-LT"/>
        </w:rPr>
        <w:t xml:space="preserve">, </w:t>
      </w:r>
      <w:r>
        <w:rPr>
          <w:lang w:eastAsia="lt-LT"/>
        </w:rPr>
        <w:t>nauji įkainiai turėtų būti apskaičiuojami pagal formulę:</w:t>
      </w:r>
    </w:p>
    <w:p w14:paraId="68B1855E" w14:textId="77777777" w:rsidR="0007323F" w:rsidRDefault="0007323F" w:rsidP="0007323F">
      <w:pPr>
        <w:spacing w:line="312" w:lineRule="auto"/>
        <w:ind w:firstLine="547"/>
        <w:jc w:val="both"/>
        <w:rPr>
          <w:lang w:eastAsia="lt-LT"/>
        </w:rPr>
      </w:pPr>
      <w:r w:rsidRPr="009D3B96">
        <w:rPr>
          <w:i/>
          <w:iCs/>
          <w:noProof/>
          <w:lang w:eastAsia="lt-LT"/>
        </w:rPr>
        <w:drawing>
          <wp:inline distT="0" distB="0" distL="0" distR="0" wp14:anchorId="4C316D48" wp14:editId="1F3A476A">
            <wp:extent cx="1448002" cy="419158"/>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48002" cy="419158"/>
                    </a:xfrm>
                    <a:prstGeom prst="rect">
                      <a:avLst/>
                    </a:prstGeom>
                  </pic:spPr>
                </pic:pic>
              </a:graphicData>
            </a:graphic>
          </wp:inline>
        </w:drawing>
      </w:r>
      <w:r>
        <w:rPr>
          <w:lang w:eastAsia="lt-LT"/>
        </w:rPr>
        <w:t xml:space="preserve"> , kur</w:t>
      </w:r>
    </w:p>
    <w:p w14:paraId="7D565391" w14:textId="77777777" w:rsidR="0007323F" w:rsidRDefault="0007323F" w:rsidP="0007323F">
      <w:pPr>
        <w:spacing w:line="312" w:lineRule="auto"/>
        <w:ind w:firstLine="547"/>
        <w:jc w:val="both"/>
        <w:rPr>
          <w:lang w:eastAsia="lt-LT"/>
        </w:rPr>
      </w:pPr>
      <w:r>
        <w:rPr>
          <w:lang w:eastAsia="lt-LT"/>
        </w:rPr>
        <w:t>a – įkainis (</w:t>
      </w:r>
      <w:proofErr w:type="spellStart"/>
      <w:r>
        <w:rPr>
          <w:lang w:eastAsia="lt-LT"/>
        </w:rPr>
        <w:t>Eur</w:t>
      </w:r>
      <w:proofErr w:type="spellEnd"/>
      <w:r>
        <w:rPr>
          <w:lang w:eastAsia="lt-LT"/>
        </w:rPr>
        <w:t xml:space="preserve"> be PVM)) (jei jis jau buvo perskaičiuotas, tai po paskutinio perskaičiavimo).</w:t>
      </w:r>
    </w:p>
    <w:p w14:paraId="73D0DB82" w14:textId="77777777" w:rsidR="0007323F" w:rsidRDefault="0007323F" w:rsidP="0007323F">
      <w:pPr>
        <w:spacing w:line="312" w:lineRule="auto"/>
        <w:ind w:firstLine="547"/>
        <w:jc w:val="both"/>
        <w:rPr>
          <w:lang w:eastAsia="lt-LT"/>
        </w:rPr>
      </w:pPr>
      <w:r w:rsidRPr="009D3B96">
        <w:rPr>
          <w:lang w:eastAsia="lt-LT"/>
        </w:rPr>
        <w:t>a</w:t>
      </w:r>
      <w:r w:rsidRPr="009D3B96">
        <w:rPr>
          <w:vertAlign w:val="subscript"/>
          <w:lang w:eastAsia="lt-LT"/>
        </w:rPr>
        <w:t>1</w:t>
      </w:r>
      <w:r w:rsidRPr="009D3B96">
        <w:rPr>
          <w:lang w:eastAsia="lt-LT"/>
        </w:rPr>
        <w:t xml:space="preserve"> – </w:t>
      </w:r>
      <w:r>
        <w:rPr>
          <w:lang w:eastAsia="lt-LT"/>
        </w:rPr>
        <w:t>perskaičiuotas (pakeistas) įkainis (</w:t>
      </w:r>
      <w:proofErr w:type="spellStart"/>
      <w:r>
        <w:rPr>
          <w:lang w:eastAsia="lt-LT"/>
        </w:rPr>
        <w:t>Eur</w:t>
      </w:r>
      <w:proofErr w:type="spellEnd"/>
      <w:r>
        <w:rPr>
          <w:lang w:eastAsia="lt-LT"/>
        </w:rPr>
        <w:t xml:space="preserve"> be PVM)</w:t>
      </w:r>
    </w:p>
    <w:p w14:paraId="2E81F18E" w14:textId="77777777" w:rsidR="0007323F" w:rsidRDefault="0007323F" w:rsidP="0007323F">
      <w:pPr>
        <w:spacing w:line="312" w:lineRule="auto"/>
        <w:ind w:firstLine="547"/>
        <w:jc w:val="both"/>
        <w:rPr>
          <w:lang w:eastAsia="lt-LT"/>
        </w:rPr>
      </w:pPr>
      <w:r>
        <w:rPr>
          <w:lang w:eastAsia="lt-LT"/>
        </w:rPr>
        <w:t xml:space="preserve">k – Pagal Ūkio subjektams suteiktų paslaugų kainų indeksą J62. Kompiuterių programavimo, konsultacinė ir susijusi veikla apskaičiuotas kainų pokytis (padidėjimas arba sumažėjimas) (%). „k“ reikšmė skaičiuojama pagal formulę: </w:t>
      </w:r>
    </w:p>
    <w:p w14:paraId="4A1C9AA5" w14:textId="77777777" w:rsidR="0007323F" w:rsidRDefault="0007323F" w:rsidP="0007323F">
      <w:pPr>
        <w:spacing w:line="312" w:lineRule="auto"/>
        <w:ind w:firstLine="547"/>
        <w:jc w:val="both"/>
        <w:rPr>
          <w:lang w:eastAsia="lt-LT"/>
        </w:rPr>
      </w:pPr>
      <w:r w:rsidRPr="009D3B96">
        <w:rPr>
          <w:noProof/>
          <w:lang w:eastAsia="lt-LT"/>
        </w:rPr>
        <w:drawing>
          <wp:inline distT="0" distB="0" distL="0" distR="0" wp14:anchorId="19D26256" wp14:editId="371332E4">
            <wp:extent cx="2095792" cy="419158"/>
            <wp:effectExtent l="0" t="0" r="0" b="0"/>
            <wp:docPr id="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95792" cy="419158"/>
                    </a:xfrm>
                    <a:prstGeom prst="rect">
                      <a:avLst/>
                    </a:prstGeom>
                  </pic:spPr>
                </pic:pic>
              </a:graphicData>
            </a:graphic>
          </wp:inline>
        </w:drawing>
      </w:r>
      <w:r>
        <w:rPr>
          <w:lang w:eastAsia="lt-LT"/>
        </w:rPr>
        <w:t>, (proc.), kur</w:t>
      </w:r>
    </w:p>
    <w:p w14:paraId="46657F69" w14:textId="77777777" w:rsidR="0007323F" w:rsidRDefault="0007323F" w:rsidP="0007323F">
      <w:pPr>
        <w:spacing w:line="312" w:lineRule="auto"/>
        <w:ind w:firstLine="547"/>
        <w:jc w:val="both"/>
        <w:rPr>
          <w:lang w:eastAsia="lt-LT"/>
        </w:rPr>
      </w:pPr>
      <w:proofErr w:type="spellStart"/>
      <w:r w:rsidRPr="009D3B96">
        <w:rPr>
          <w:lang w:eastAsia="lt-LT"/>
        </w:rPr>
        <w:t>Ind</w:t>
      </w:r>
      <w:r w:rsidRPr="009D3B96">
        <w:rPr>
          <w:vertAlign w:val="subscript"/>
          <w:lang w:eastAsia="lt-LT"/>
        </w:rPr>
        <w:t>naujausias</w:t>
      </w:r>
      <w:proofErr w:type="spellEnd"/>
      <w:r w:rsidRPr="009D3B96">
        <w:rPr>
          <w:lang w:eastAsia="lt-LT"/>
        </w:rPr>
        <w:t xml:space="preserve"> </w:t>
      </w:r>
      <w:r>
        <w:rPr>
          <w:lang w:eastAsia="lt-LT"/>
        </w:rPr>
        <w:t>– kreipimosi dėl kainos perskaičiavimo išsiuntimo kitai šaliai datą naujausias paskelbtas Ūkio subjektams suteiktų paslaugų kainų J62. Kompiuterių programavimo, konsultacinė ir susijusi veikla indeksas.</w:t>
      </w:r>
    </w:p>
    <w:p w14:paraId="3ED5C652" w14:textId="77777777" w:rsidR="0007323F" w:rsidRDefault="0007323F" w:rsidP="0007323F">
      <w:pPr>
        <w:spacing w:line="312" w:lineRule="auto"/>
        <w:ind w:firstLine="547"/>
        <w:jc w:val="both"/>
        <w:rPr>
          <w:lang w:eastAsia="lt-LT"/>
        </w:rPr>
      </w:pPr>
      <w:proofErr w:type="spellStart"/>
      <w:r w:rsidRPr="009D3B96">
        <w:rPr>
          <w:lang w:eastAsia="lt-LT"/>
        </w:rPr>
        <w:t>Ind</w:t>
      </w:r>
      <w:r w:rsidRPr="009D3B96">
        <w:rPr>
          <w:vertAlign w:val="subscript"/>
          <w:lang w:eastAsia="lt-LT"/>
        </w:rPr>
        <w:t>pradžia</w:t>
      </w:r>
      <w:proofErr w:type="spellEnd"/>
      <w:r w:rsidRPr="009D3B96">
        <w:rPr>
          <w:lang w:eastAsia="lt-LT"/>
        </w:rPr>
        <w:t xml:space="preserve"> – </w:t>
      </w:r>
      <w:r>
        <w:rPr>
          <w:lang w:eastAsia="lt-LT"/>
        </w:rPr>
        <w:t>laikotarpio pradžios datos (mėnesio) Ūkio subjektams suteiktų paslaugų kainų J62. Kompiuterių programavimo, konsultacinė ir susijusi veikla pokytis vartojimo prekių ir paslaugų indeksas. Pirmojo perskaičiavimo atveju laikotarpio pradžia (mėnuo) yra paskutinės pirkimo, kurio pagrindu sudaryta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A261633" w14:textId="77777777" w:rsidR="004A34C3" w:rsidRDefault="004A34C3" w:rsidP="0007323F">
      <w:pPr>
        <w:spacing w:line="312" w:lineRule="auto"/>
        <w:ind w:firstLine="547"/>
        <w:jc w:val="both"/>
        <w:rPr>
          <w:lang w:eastAsia="lt-LT"/>
        </w:rPr>
      </w:pPr>
      <w:r>
        <w:rPr>
          <w:lang w:eastAsia="lt-LT"/>
        </w:rPr>
        <w:t xml:space="preserve">Dalyvaudama </w:t>
      </w:r>
      <w:r w:rsidRPr="004A34C3">
        <w:rPr>
          <w:lang w:eastAsia="lt-LT"/>
        </w:rPr>
        <w:t>viešajame pirkime</w:t>
      </w:r>
      <w:r w:rsidR="00DA1516">
        <w:rPr>
          <w:lang w:eastAsia="lt-LT"/>
        </w:rPr>
        <w:t xml:space="preserve"> Nr. IRD-D10-47 „Valstybės tarnautojų registro ir Valstybės tarnybos valdymo informacinės sistemos modifikavimo ir konsultavimo paslaugų pirkimas“ </w:t>
      </w:r>
      <w:r w:rsidRPr="004A34C3">
        <w:rPr>
          <w:lang w:eastAsia="lt-LT"/>
        </w:rPr>
        <w:t xml:space="preserve">, </w:t>
      </w:r>
      <w:r>
        <w:rPr>
          <w:lang w:eastAsia="lt-LT"/>
        </w:rPr>
        <w:t xml:space="preserve">UAB </w:t>
      </w:r>
      <w:r>
        <w:t>„CGI Lithuania“</w:t>
      </w:r>
      <w:r w:rsidRPr="004A34C3">
        <w:rPr>
          <w:lang w:eastAsia="lt-LT"/>
        </w:rPr>
        <w:t xml:space="preserve"> pasiūlymą teikė 2021 m. spalio 20 d. Vertinan</w:t>
      </w:r>
      <w:r w:rsidR="00DA1516">
        <w:rPr>
          <w:lang w:eastAsia="lt-LT"/>
        </w:rPr>
        <w:t xml:space="preserve">t paslaugų kainų indekso pokytį, lyginant </w:t>
      </w:r>
      <w:r w:rsidRPr="004A34C3">
        <w:rPr>
          <w:lang w:eastAsia="lt-LT"/>
        </w:rPr>
        <w:t xml:space="preserve">2021 m. IV </w:t>
      </w:r>
      <w:proofErr w:type="spellStart"/>
      <w:r w:rsidRPr="004A34C3">
        <w:rPr>
          <w:lang w:eastAsia="lt-LT"/>
        </w:rPr>
        <w:t>ketv</w:t>
      </w:r>
      <w:proofErr w:type="spellEnd"/>
      <w:r w:rsidRPr="004A34C3">
        <w:rPr>
          <w:lang w:eastAsia="lt-LT"/>
        </w:rPr>
        <w:t xml:space="preserve">. </w:t>
      </w:r>
      <w:r w:rsidR="00DA1516">
        <w:rPr>
          <w:lang w:eastAsia="lt-LT"/>
        </w:rPr>
        <w:t xml:space="preserve">ir </w:t>
      </w:r>
      <w:r w:rsidRPr="004A34C3">
        <w:rPr>
          <w:lang w:eastAsia="lt-LT"/>
        </w:rPr>
        <w:t xml:space="preserve"> 2022 m. III </w:t>
      </w:r>
      <w:proofErr w:type="spellStart"/>
      <w:r w:rsidRPr="004A34C3">
        <w:rPr>
          <w:lang w:eastAsia="lt-LT"/>
        </w:rPr>
        <w:t>ketv</w:t>
      </w:r>
      <w:proofErr w:type="spellEnd"/>
      <w:r w:rsidRPr="004A34C3">
        <w:rPr>
          <w:lang w:eastAsia="lt-LT"/>
        </w:rPr>
        <w:t>., matome, kad J62 rodiklio kainų indekso pokytis yra 7,2 proc. Pagal tai galimas įkainio perskaičiavimas pateikiamas lentelėje:</w:t>
      </w:r>
    </w:p>
    <w:p w14:paraId="122E7746" w14:textId="77777777" w:rsidR="0007323F" w:rsidRDefault="0007323F" w:rsidP="0007323F">
      <w:pPr>
        <w:spacing w:line="312" w:lineRule="auto"/>
        <w:ind w:firstLine="547"/>
        <w:jc w:val="both"/>
        <w:rPr>
          <w:lang w:eastAsia="lt-LT"/>
        </w:rPr>
      </w:pPr>
    </w:p>
    <w:tbl>
      <w:tblPr>
        <w:tblW w:w="50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8"/>
        <w:gridCol w:w="1612"/>
        <w:gridCol w:w="1611"/>
        <w:gridCol w:w="1641"/>
        <w:gridCol w:w="1708"/>
        <w:gridCol w:w="2165"/>
      </w:tblGrid>
      <w:tr w:rsidR="00DA1516" w:rsidRPr="00FF5E0B" w14:paraId="3E6C5FBC" w14:textId="77777777" w:rsidTr="00DA1516">
        <w:trPr>
          <w:trHeight w:val="16"/>
        </w:trPr>
        <w:tc>
          <w:tcPr>
            <w:tcW w:w="335" w:type="pct"/>
            <w:tcMar>
              <w:top w:w="0" w:type="dxa"/>
              <w:left w:w="108" w:type="dxa"/>
              <w:bottom w:w="0" w:type="dxa"/>
              <w:right w:w="108" w:type="dxa"/>
            </w:tcMar>
            <w:vAlign w:val="center"/>
            <w:hideMark/>
          </w:tcPr>
          <w:p w14:paraId="1BA27C9E" w14:textId="77777777" w:rsidR="00DA1516" w:rsidRPr="00FF5E0B" w:rsidRDefault="00DA1516" w:rsidP="0007323F">
            <w:pPr>
              <w:spacing w:line="312" w:lineRule="auto"/>
              <w:rPr>
                <w:lang w:eastAsia="lt-LT"/>
              </w:rPr>
            </w:pPr>
            <w:r w:rsidRPr="00FF5E0B">
              <w:rPr>
                <w:lang w:eastAsia="lt-LT"/>
              </w:rPr>
              <w:t> </w:t>
            </w:r>
          </w:p>
        </w:tc>
        <w:tc>
          <w:tcPr>
            <w:tcW w:w="860" w:type="pct"/>
            <w:tcMar>
              <w:top w:w="0" w:type="dxa"/>
              <w:left w:w="108" w:type="dxa"/>
              <w:bottom w:w="0" w:type="dxa"/>
              <w:right w:w="108" w:type="dxa"/>
            </w:tcMar>
            <w:hideMark/>
          </w:tcPr>
          <w:p w14:paraId="4393781D" w14:textId="77777777" w:rsidR="00DA1516" w:rsidRPr="00FF5E0B" w:rsidRDefault="00DA1516" w:rsidP="0007323F">
            <w:pPr>
              <w:spacing w:line="312" w:lineRule="auto"/>
              <w:rPr>
                <w:lang w:eastAsia="lt-LT"/>
              </w:rPr>
            </w:pPr>
            <w:r w:rsidRPr="00FF5E0B">
              <w:rPr>
                <w:color w:val="000000"/>
                <w:lang w:eastAsia="lt-LT"/>
              </w:rPr>
              <w:t>Pavadinimas</w:t>
            </w:r>
          </w:p>
        </w:tc>
        <w:tc>
          <w:tcPr>
            <w:tcW w:w="860" w:type="pct"/>
            <w:tcMar>
              <w:top w:w="0" w:type="dxa"/>
              <w:left w:w="108" w:type="dxa"/>
              <w:bottom w:w="0" w:type="dxa"/>
              <w:right w:w="108" w:type="dxa"/>
            </w:tcMar>
            <w:hideMark/>
          </w:tcPr>
          <w:p w14:paraId="0B73CBA7" w14:textId="77777777" w:rsidR="00DA1516" w:rsidRPr="00FF5E0B" w:rsidRDefault="00DA1516" w:rsidP="0007323F">
            <w:pPr>
              <w:spacing w:line="312" w:lineRule="auto"/>
              <w:jc w:val="center"/>
              <w:rPr>
                <w:lang w:eastAsia="lt-LT"/>
              </w:rPr>
            </w:pPr>
            <w:r w:rsidRPr="00FF5E0B">
              <w:rPr>
                <w:color w:val="000000"/>
                <w:lang w:eastAsia="lt-LT"/>
              </w:rPr>
              <w:t xml:space="preserve">Dabartinis 1 valandos kaina/įkainis, </w:t>
            </w:r>
            <w:proofErr w:type="spellStart"/>
            <w:r w:rsidRPr="00FF5E0B">
              <w:rPr>
                <w:color w:val="000000"/>
                <w:lang w:eastAsia="lt-LT"/>
              </w:rPr>
              <w:t>Eur</w:t>
            </w:r>
            <w:proofErr w:type="spellEnd"/>
            <w:r w:rsidRPr="00FF5E0B">
              <w:rPr>
                <w:color w:val="000000"/>
                <w:lang w:eastAsia="lt-LT"/>
              </w:rPr>
              <w:t xml:space="preserve"> be PVM</w:t>
            </w:r>
          </w:p>
        </w:tc>
        <w:tc>
          <w:tcPr>
            <w:tcW w:w="876" w:type="pct"/>
            <w:tcMar>
              <w:top w:w="0" w:type="dxa"/>
              <w:left w:w="108" w:type="dxa"/>
              <w:bottom w:w="0" w:type="dxa"/>
              <w:right w:w="108" w:type="dxa"/>
            </w:tcMar>
            <w:hideMark/>
          </w:tcPr>
          <w:p w14:paraId="74587458" w14:textId="77777777" w:rsidR="00DA1516" w:rsidRDefault="00DA1516" w:rsidP="0007323F">
            <w:pPr>
              <w:spacing w:line="312" w:lineRule="auto"/>
              <w:jc w:val="center"/>
              <w:rPr>
                <w:color w:val="000000"/>
                <w:lang w:eastAsia="lt-LT"/>
              </w:rPr>
            </w:pPr>
            <w:r w:rsidRPr="00FF5E0B">
              <w:rPr>
                <w:color w:val="000000"/>
                <w:lang w:eastAsia="lt-LT"/>
              </w:rPr>
              <w:t>Po indeksavimo 1 val</w:t>
            </w:r>
            <w:r>
              <w:rPr>
                <w:color w:val="000000"/>
                <w:lang w:eastAsia="lt-LT"/>
              </w:rPr>
              <w:t xml:space="preserve">andos kaina/įkainis, </w:t>
            </w:r>
            <w:proofErr w:type="spellStart"/>
            <w:r>
              <w:rPr>
                <w:color w:val="000000"/>
                <w:lang w:eastAsia="lt-LT"/>
              </w:rPr>
              <w:t>Eur</w:t>
            </w:r>
            <w:proofErr w:type="spellEnd"/>
            <w:r>
              <w:rPr>
                <w:color w:val="000000"/>
                <w:lang w:eastAsia="lt-LT"/>
              </w:rPr>
              <w:t xml:space="preserve"> be PVM</w:t>
            </w:r>
          </w:p>
          <w:p w14:paraId="00745A65" w14:textId="77777777" w:rsidR="00DA1516" w:rsidRPr="00FF5E0B" w:rsidRDefault="00DA1516" w:rsidP="0007323F">
            <w:pPr>
              <w:spacing w:line="312" w:lineRule="auto"/>
              <w:jc w:val="center"/>
              <w:rPr>
                <w:lang w:eastAsia="lt-LT"/>
              </w:rPr>
            </w:pPr>
            <w:r>
              <w:rPr>
                <w:color w:val="000000"/>
                <w:lang w:eastAsia="lt-LT"/>
              </w:rPr>
              <w:t>perskaičiuotas Paslaugos teikėjo</w:t>
            </w:r>
          </w:p>
        </w:tc>
        <w:tc>
          <w:tcPr>
            <w:tcW w:w="912" w:type="pct"/>
          </w:tcPr>
          <w:p w14:paraId="0ABC8313" w14:textId="77777777" w:rsidR="00DA1516" w:rsidRDefault="00DA1516" w:rsidP="0007323F">
            <w:pPr>
              <w:spacing w:line="312" w:lineRule="auto"/>
              <w:jc w:val="center"/>
              <w:rPr>
                <w:color w:val="000000"/>
                <w:lang w:eastAsia="lt-LT"/>
              </w:rPr>
            </w:pPr>
            <w:r>
              <w:rPr>
                <w:color w:val="000000"/>
                <w:lang w:eastAsia="lt-LT"/>
              </w:rPr>
              <w:t>Kainos/įkainio padidėjimas, proc.</w:t>
            </w:r>
          </w:p>
          <w:p w14:paraId="7CFD3416" w14:textId="77777777" w:rsidR="00DA1516" w:rsidRPr="00FF5E0B" w:rsidRDefault="00DA1516" w:rsidP="0007323F">
            <w:pPr>
              <w:spacing w:line="312" w:lineRule="auto"/>
              <w:jc w:val="center"/>
              <w:rPr>
                <w:color w:val="000000"/>
                <w:lang w:eastAsia="lt-LT"/>
              </w:rPr>
            </w:pPr>
            <w:r>
              <w:rPr>
                <w:color w:val="000000"/>
                <w:lang w:eastAsia="lt-LT"/>
              </w:rPr>
              <w:t>perskaičiuotas pagal rodiklio J62 kitimą</w:t>
            </w:r>
          </w:p>
        </w:tc>
        <w:tc>
          <w:tcPr>
            <w:tcW w:w="1156" w:type="pct"/>
            <w:tcMar>
              <w:top w:w="0" w:type="dxa"/>
              <w:left w:w="108" w:type="dxa"/>
              <w:bottom w:w="0" w:type="dxa"/>
              <w:right w:w="108" w:type="dxa"/>
            </w:tcMar>
            <w:hideMark/>
          </w:tcPr>
          <w:p w14:paraId="18C42093" w14:textId="77777777" w:rsidR="00DA1516" w:rsidRDefault="00DA1516" w:rsidP="0007323F">
            <w:pPr>
              <w:spacing w:line="312" w:lineRule="auto"/>
              <w:jc w:val="center"/>
              <w:rPr>
                <w:color w:val="000000"/>
                <w:lang w:eastAsia="lt-LT"/>
              </w:rPr>
            </w:pPr>
            <w:r w:rsidRPr="00FF5E0B">
              <w:rPr>
                <w:color w:val="000000"/>
                <w:lang w:eastAsia="lt-LT"/>
              </w:rPr>
              <w:t xml:space="preserve">Po indeksavimo 1 valandos kaina/įkainis, </w:t>
            </w:r>
            <w:proofErr w:type="spellStart"/>
            <w:r w:rsidRPr="00FF5E0B">
              <w:rPr>
                <w:color w:val="000000"/>
                <w:lang w:eastAsia="lt-LT"/>
              </w:rPr>
              <w:t>Eur</w:t>
            </w:r>
            <w:proofErr w:type="spellEnd"/>
            <w:r w:rsidRPr="00FF5E0B">
              <w:rPr>
                <w:color w:val="000000"/>
                <w:lang w:eastAsia="lt-LT"/>
              </w:rPr>
              <w:t xml:space="preserve"> </w:t>
            </w:r>
            <w:r>
              <w:rPr>
                <w:color w:val="000000"/>
                <w:lang w:eastAsia="lt-LT"/>
              </w:rPr>
              <w:t>be</w:t>
            </w:r>
            <w:r w:rsidRPr="00FF5E0B">
              <w:rPr>
                <w:color w:val="000000"/>
                <w:lang w:eastAsia="lt-LT"/>
              </w:rPr>
              <w:t xml:space="preserve"> PVM</w:t>
            </w:r>
            <w:r>
              <w:rPr>
                <w:color w:val="000000"/>
                <w:lang w:eastAsia="lt-LT"/>
              </w:rPr>
              <w:t>\</w:t>
            </w:r>
          </w:p>
          <w:p w14:paraId="37226AEA" w14:textId="77777777" w:rsidR="00DA1516" w:rsidRPr="00FF5E0B" w:rsidRDefault="00DA1516" w:rsidP="0007323F">
            <w:pPr>
              <w:spacing w:line="312" w:lineRule="auto"/>
              <w:jc w:val="center"/>
              <w:rPr>
                <w:lang w:eastAsia="lt-LT"/>
              </w:rPr>
            </w:pPr>
            <w:r>
              <w:rPr>
                <w:color w:val="000000"/>
                <w:lang w:eastAsia="lt-LT"/>
              </w:rPr>
              <w:t xml:space="preserve">perskaičiuotas pagal rodiklio </w:t>
            </w:r>
            <w:r w:rsidR="0007323F">
              <w:rPr>
                <w:color w:val="000000"/>
                <w:lang w:eastAsia="lt-LT"/>
              </w:rPr>
              <w:t>e</w:t>
            </w:r>
            <w:r>
              <w:rPr>
                <w:color w:val="000000"/>
                <w:lang w:eastAsia="lt-LT"/>
              </w:rPr>
              <w:t>J62 kitimą</w:t>
            </w:r>
          </w:p>
        </w:tc>
      </w:tr>
      <w:tr w:rsidR="00DA1516" w:rsidRPr="00FF5E0B" w14:paraId="4F812CDE" w14:textId="77777777" w:rsidTr="00DA1516">
        <w:trPr>
          <w:trHeight w:val="16"/>
        </w:trPr>
        <w:tc>
          <w:tcPr>
            <w:tcW w:w="335" w:type="pct"/>
            <w:tcMar>
              <w:top w:w="0" w:type="dxa"/>
              <w:left w:w="108" w:type="dxa"/>
              <w:bottom w:w="0" w:type="dxa"/>
              <w:right w:w="108" w:type="dxa"/>
            </w:tcMar>
            <w:vAlign w:val="center"/>
            <w:hideMark/>
          </w:tcPr>
          <w:p w14:paraId="5EA18922" w14:textId="77777777" w:rsidR="00DA1516" w:rsidRPr="00FF5E0B" w:rsidRDefault="00DA1516" w:rsidP="0007323F">
            <w:pPr>
              <w:spacing w:line="312" w:lineRule="auto"/>
              <w:rPr>
                <w:lang w:eastAsia="lt-LT"/>
              </w:rPr>
            </w:pPr>
            <w:r w:rsidRPr="00FF5E0B">
              <w:rPr>
                <w:lang w:val="en-US" w:eastAsia="lt-LT"/>
              </w:rPr>
              <w:t>1.1.</w:t>
            </w:r>
          </w:p>
        </w:tc>
        <w:tc>
          <w:tcPr>
            <w:tcW w:w="860" w:type="pct"/>
            <w:tcMar>
              <w:top w:w="0" w:type="dxa"/>
              <w:left w:w="108" w:type="dxa"/>
              <w:bottom w:w="0" w:type="dxa"/>
              <w:right w:w="108" w:type="dxa"/>
            </w:tcMar>
            <w:hideMark/>
          </w:tcPr>
          <w:p w14:paraId="7616D562" w14:textId="77777777" w:rsidR="00DA1516" w:rsidRPr="00FF5E0B" w:rsidRDefault="00DA1516" w:rsidP="0007323F">
            <w:pPr>
              <w:spacing w:line="312" w:lineRule="auto"/>
              <w:rPr>
                <w:lang w:eastAsia="lt-LT"/>
              </w:rPr>
            </w:pPr>
            <w:r w:rsidRPr="00FF5E0B">
              <w:rPr>
                <w:color w:val="000000"/>
                <w:lang w:eastAsia="lt-LT"/>
              </w:rPr>
              <w:t>Modifikavimo paslaugos</w:t>
            </w:r>
          </w:p>
        </w:tc>
        <w:tc>
          <w:tcPr>
            <w:tcW w:w="860" w:type="pct"/>
            <w:tcMar>
              <w:top w:w="0" w:type="dxa"/>
              <w:left w:w="108" w:type="dxa"/>
              <w:bottom w:w="0" w:type="dxa"/>
              <w:right w:w="108" w:type="dxa"/>
            </w:tcMar>
            <w:hideMark/>
          </w:tcPr>
          <w:p w14:paraId="6505105A" w14:textId="77777777" w:rsidR="00DA1516" w:rsidRPr="00FF5E0B" w:rsidRDefault="00DA1516" w:rsidP="0007323F">
            <w:pPr>
              <w:spacing w:line="312" w:lineRule="auto"/>
              <w:jc w:val="center"/>
              <w:rPr>
                <w:lang w:eastAsia="lt-LT"/>
              </w:rPr>
            </w:pPr>
            <w:r w:rsidRPr="00FF5E0B">
              <w:rPr>
                <w:color w:val="000000"/>
                <w:lang w:eastAsia="lt-LT"/>
              </w:rPr>
              <w:t>41,50</w:t>
            </w:r>
          </w:p>
        </w:tc>
        <w:tc>
          <w:tcPr>
            <w:tcW w:w="876" w:type="pct"/>
            <w:tcMar>
              <w:top w:w="0" w:type="dxa"/>
              <w:left w:w="108" w:type="dxa"/>
              <w:bottom w:w="0" w:type="dxa"/>
              <w:right w:w="108" w:type="dxa"/>
            </w:tcMar>
            <w:hideMark/>
          </w:tcPr>
          <w:p w14:paraId="0E51415D" w14:textId="77777777" w:rsidR="00DA1516" w:rsidRPr="00FF5E0B" w:rsidRDefault="00DA1516" w:rsidP="0007323F">
            <w:pPr>
              <w:spacing w:line="312" w:lineRule="auto"/>
              <w:jc w:val="center"/>
              <w:rPr>
                <w:lang w:eastAsia="lt-LT"/>
              </w:rPr>
            </w:pPr>
            <w:r w:rsidRPr="00FF5E0B">
              <w:rPr>
                <w:color w:val="000000"/>
                <w:lang w:val="en-US" w:eastAsia="lt-LT"/>
              </w:rPr>
              <w:t>50,05</w:t>
            </w:r>
          </w:p>
        </w:tc>
        <w:tc>
          <w:tcPr>
            <w:tcW w:w="912" w:type="pct"/>
          </w:tcPr>
          <w:p w14:paraId="5E453924" w14:textId="77777777" w:rsidR="00DA1516" w:rsidRDefault="00DA1516" w:rsidP="0007323F">
            <w:pPr>
              <w:spacing w:line="312" w:lineRule="auto"/>
              <w:jc w:val="center"/>
              <w:rPr>
                <w:color w:val="000000"/>
                <w:lang w:val="en-US" w:eastAsia="lt-LT"/>
              </w:rPr>
            </w:pPr>
            <w:r>
              <w:rPr>
                <w:color w:val="000000"/>
                <w:lang w:val="en-US" w:eastAsia="lt-LT"/>
              </w:rPr>
              <w:t>7,2</w:t>
            </w:r>
          </w:p>
        </w:tc>
        <w:tc>
          <w:tcPr>
            <w:tcW w:w="1156" w:type="pct"/>
            <w:tcMar>
              <w:top w:w="0" w:type="dxa"/>
              <w:left w:w="108" w:type="dxa"/>
              <w:bottom w:w="0" w:type="dxa"/>
              <w:right w:w="108" w:type="dxa"/>
            </w:tcMar>
            <w:hideMark/>
          </w:tcPr>
          <w:p w14:paraId="20AE084D" w14:textId="77777777" w:rsidR="00DA1516" w:rsidRPr="00FF5E0B" w:rsidRDefault="00DA1516" w:rsidP="0007323F">
            <w:pPr>
              <w:spacing w:line="312" w:lineRule="auto"/>
              <w:jc w:val="center"/>
              <w:rPr>
                <w:lang w:eastAsia="lt-LT"/>
              </w:rPr>
            </w:pPr>
            <w:r>
              <w:rPr>
                <w:color w:val="000000"/>
                <w:lang w:val="en-US" w:eastAsia="lt-LT"/>
              </w:rPr>
              <w:t>44,49</w:t>
            </w:r>
          </w:p>
        </w:tc>
      </w:tr>
      <w:tr w:rsidR="00DA1516" w:rsidRPr="00FF5E0B" w14:paraId="68F2EC81" w14:textId="77777777" w:rsidTr="00DA1516">
        <w:trPr>
          <w:trHeight w:val="16"/>
        </w:trPr>
        <w:tc>
          <w:tcPr>
            <w:tcW w:w="335" w:type="pct"/>
            <w:tcMar>
              <w:top w:w="0" w:type="dxa"/>
              <w:left w:w="108" w:type="dxa"/>
              <w:bottom w:w="0" w:type="dxa"/>
              <w:right w:w="108" w:type="dxa"/>
            </w:tcMar>
            <w:vAlign w:val="center"/>
            <w:hideMark/>
          </w:tcPr>
          <w:p w14:paraId="29A311A6" w14:textId="77777777" w:rsidR="00DA1516" w:rsidRPr="00FF5E0B" w:rsidRDefault="00DA1516" w:rsidP="0007323F">
            <w:pPr>
              <w:spacing w:line="312" w:lineRule="auto"/>
              <w:rPr>
                <w:lang w:eastAsia="lt-LT"/>
              </w:rPr>
            </w:pPr>
            <w:r>
              <w:rPr>
                <w:lang w:eastAsia="lt-LT"/>
              </w:rPr>
              <w:t>1.2.</w:t>
            </w:r>
          </w:p>
        </w:tc>
        <w:tc>
          <w:tcPr>
            <w:tcW w:w="860" w:type="pct"/>
            <w:tcMar>
              <w:top w:w="0" w:type="dxa"/>
              <w:left w:w="108" w:type="dxa"/>
              <w:bottom w:w="0" w:type="dxa"/>
              <w:right w:w="108" w:type="dxa"/>
            </w:tcMar>
            <w:hideMark/>
          </w:tcPr>
          <w:p w14:paraId="6FE8CE57" w14:textId="77777777" w:rsidR="00DA1516" w:rsidRPr="00FF5E0B" w:rsidRDefault="00DA1516" w:rsidP="0007323F">
            <w:pPr>
              <w:spacing w:line="312" w:lineRule="auto"/>
              <w:rPr>
                <w:lang w:eastAsia="lt-LT"/>
              </w:rPr>
            </w:pPr>
            <w:r w:rsidRPr="00FF5E0B">
              <w:rPr>
                <w:color w:val="000000"/>
                <w:lang w:eastAsia="lt-LT"/>
              </w:rPr>
              <w:t>Konsultavimo paslaugos</w:t>
            </w:r>
          </w:p>
        </w:tc>
        <w:tc>
          <w:tcPr>
            <w:tcW w:w="860" w:type="pct"/>
            <w:tcMar>
              <w:top w:w="0" w:type="dxa"/>
              <w:left w:w="108" w:type="dxa"/>
              <w:bottom w:w="0" w:type="dxa"/>
              <w:right w:w="108" w:type="dxa"/>
            </w:tcMar>
            <w:hideMark/>
          </w:tcPr>
          <w:p w14:paraId="5140D2EB" w14:textId="77777777" w:rsidR="00DA1516" w:rsidRPr="00FF5E0B" w:rsidRDefault="00DA1516" w:rsidP="0007323F">
            <w:pPr>
              <w:spacing w:line="312" w:lineRule="auto"/>
              <w:jc w:val="center"/>
              <w:rPr>
                <w:lang w:eastAsia="lt-LT"/>
              </w:rPr>
            </w:pPr>
            <w:r w:rsidRPr="00FF5E0B">
              <w:rPr>
                <w:color w:val="000000"/>
                <w:lang w:eastAsia="lt-LT"/>
              </w:rPr>
              <w:t>20,40</w:t>
            </w:r>
          </w:p>
        </w:tc>
        <w:tc>
          <w:tcPr>
            <w:tcW w:w="876" w:type="pct"/>
            <w:tcMar>
              <w:top w:w="0" w:type="dxa"/>
              <w:left w:w="108" w:type="dxa"/>
              <w:bottom w:w="0" w:type="dxa"/>
              <w:right w:w="108" w:type="dxa"/>
            </w:tcMar>
            <w:hideMark/>
          </w:tcPr>
          <w:p w14:paraId="3EE87031" w14:textId="77777777" w:rsidR="00DA1516" w:rsidRPr="00FF5E0B" w:rsidRDefault="00DA1516" w:rsidP="0007323F">
            <w:pPr>
              <w:spacing w:line="312" w:lineRule="auto"/>
              <w:jc w:val="center"/>
              <w:rPr>
                <w:lang w:eastAsia="lt-LT"/>
              </w:rPr>
            </w:pPr>
            <w:r w:rsidRPr="00FF5E0B">
              <w:rPr>
                <w:color w:val="000000"/>
                <w:lang w:val="en-US" w:eastAsia="lt-LT"/>
              </w:rPr>
              <w:t>24,60</w:t>
            </w:r>
          </w:p>
        </w:tc>
        <w:tc>
          <w:tcPr>
            <w:tcW w:w="912" w:type="pct"/>
          </w:tcPr>
          <w:p w14:paraId="7624D413" w14:textId="77777777" w:rsidR="00DA1516" w:rsidRDefault="00DA1516" w:rsidP="0007323F">
            <w:pPr>
              <w:spacing w:line="312" w:lineRule="auto"/>
              <w:jc w:val="center"/>
              <w:rPr>
                <w:color w:val="000000"/>
                <w:lang w:eastAsia="lt-LT"/>
              </w:rPr>
            </w:pPr>
            <w:r>
              <w:rPr>
                <w:color w:val="000000"/>
                <w:lang w:eastAsia="lt-LT"/>
              </w:rPr>
              <w:t>7,2</w:t>
            </w:r>
          </w:p>
        </w:tc>
        <w:tc>
          <w:tcPr>
            <w:tcW w:w="1156" w:type="pct"/>
            <w:tcMar>
              <w:top w:w="0" w:type="dxa"/>
              <w:left w:w="108" w:type="dxa"/>
              <w:bottom w:w="0" w:type="dxa"/>
              <w:right w:w="108" w:type="dxa"/>
            </w:tcMar>
            <w:hideMark/>
          </w:tcPr>
          <w:p w14:paraId="7DE8D9A8" w14:textId="77777777" w:rsidR="00DA1516" w:rsidRPr="00FF5E0B" w:rsidRDefault="00DA1516" w:rsidP="0007323F">
            <w:pPr>
              <w:spacing w:line="312" w:lineRule="auto"/>
              <w:jc w:val="center"/>
              <w:rPr>
                <w:lang w:eastAsia="lt-LT"/>
              </w:rPr>
            </w:pPr>
            <w:r>
              <w:rPr>
                <w:color w:val="000000"/>
                <w:lang w:eastAsia="lt-LT"/>
              </w:rPr>
              <w:t>21,87</w:t>
            </w:r>
          </w:p>
        </w:tc>
      </w:tr>
    </w:tbl>
    <w:p w14:paraId="4A67EF0C" w14:textId="77777777" w:rsidR="00DA1516" w:rsidRDefault="00DA1516" w:rsidP="0007323F">
      <w:pPr>
        <w:spacing w:line="312" w:lineRule="auto"/>
        <w:ind w:firstLine="547"/>
        <w:jc w:val="both"/>
        <w:rPr>
          <w:lang w:eastAsia="lt-LT"/>
        </w:rPr>
      </w:pPr>
    </w:p>
    <w:p w14:paraId="104A8591" w14:textId="77777777" w:rsidR="00C91FF8" w:rsidRDefault="0007323F" w:rsidP="0007323F">
      <w:pPr>
        <w:spacing w:line="312" w:lineRule="auto"/>
        <w:ind w:firstLine="547"/>
        <w:jc w:val="both"/>
        <w:rPr>
          <w:color w:val="000000" w:themeColor="text1"/>
          <w:szCs w:val="24"/>
        </w:rPr>
      </w:pPr>
      <w:r>
        <w:rPr>
          <w:color w:val="000000" w:themeColor="text1"/>
          <w:szCs w:val="24"/>
        </w:rPr>
        <w:t xml:space="preserve">Gavęs UAB </w:t>
      </w:r>
      <w:r>
        <w:t>„CGI Lithuania“</w:t>
      </w:r>
      <w:r w:rsidRPr="004A34C3">
        <w:rPr>
          <w:lang w:eastAsia="lt-LT"/>
        </w:rPr>
        <w:t xml:space="preserve"> </w:t>
      </w:r>
      <w:r>
        <w:rPr>
          <w:color w:val="000000" w:themeColor="text1"/>
          <w:szCs w:val="24"/>
        </w:rPr>
        <w:t xml:space="preserve">pritarimą aukščiau </w:t>
      </w:r>
      <w:r w:rsidR="006A0456">
        <w:rPr>
          <w:color w:val="000000" w:themeColor="text1"/>
          <w:szCs w:val="24"/>
        </w:rPr>
        <w:t>išdėstytiems</w:t>
      </w:r>
      <w:r>
        <w:rPr>
          <w:color w:val="000000" w:themeColor="text1"/>
          <w:szCs w:val="24"/>
        </w:rPr>
        <w:t xml:space="preserve"> siūlymams, Informatikos ir ryšių departamentas prie Lietuvos Respublikos vidaus reikalų ministerijos parengtų Sutarties pakeitimą Šalių derinimui ir pasirašymui.</w:t>
      </w:r>
    </w:p>
    <w:p w14:paraId="15F2B5DD" w14:textId="77777777" w:rsidR="006C61CE" w:rsidRDefault="006C61CE" w:rsidP="0007323F">
      <w:pPr>
        <w:pStyle w:val="Antrats"/>
        <w:tabs>
          <w:tab w:val="clear" w:pos="4153"/>
          <w:tab w:val="clear" w:pos="8306"/>
        </w:tabs>
        <w:spacing w:line="312" w:lineRule="auto"/>
        <w:jc w:val="both"/>
      </w:pPr>
    </w:p>
    <w:p w14:paraId="1B379CE1" w14:textId="77777777" w:rsidR="006A0456" w:rsidRPr="004338BB" w:rsidRDefault="006A0456" w:rsidP="0007323F">
      <w:pPr>
        <w:pStyle w:val="Antrats"/>
        <w:tabs>
          <w:tab w:val="clear" w:pos="4153"/>
          <w:tab w:val="clear" w:pos="8306"/>
        </w:tabs>
        <w:spacing w:line="312" w:lineRule="auto"/>
        <w:jc w:val="both"/>
      </w:pPr>
    </w:p>
    <w:tbl>
      <w:tblPr>
        <w:tblW w:w="9923" w:type="dxa"/>
        <w:tblInd w:w="-142" w:type="dxa"/>
        <w:tblLook w:val="04A0" w:firstRow="1" w:lastRow="0" w:firstColumn="1" w:lastColumn="0" w:noHBand="0" w:noVBand="1"/>
      </w:tblPr>
      <w:tblGrid>
        <w:gridCol w:w="5920"/>
        <w:gridCol w:w="4003"/>
      </w:tblGrid>
      <w:tr w:rsidR="00127909" w:rsidRPr="004338BB" w14:paraId="357127B6" w14:textId="77777777" w:rsidTr="0059229B">
        <w:tc>
          <w:tcPr>
            <w:tcW w:w="5920" w:type="dxa"/>
            <w:shd w:val="clear" w:color="auto" w:fill="auto"/>
          </w:tcPr>
          <w:p w14:paraId="3F8A230E" w14:textId="77777777" w:rsidR="00127909" w:rsidRDefault="00127909" w:rsidP="0007323F">
            <w:pPr>
              <w:tabs>
                <w:tab w:val="left" w:pos="7797"/>
              </w:tabs>
              <w:spacing w:line="312" w:lineRule="auto"/>
              <w:rPr>
                <w:szCs w:val="24"/>
              </w:rPr>
            </w:pPr>
            <w:r w:rsidRPr="004338BB">
              <w:rPr>
                <w:szCs w:val="24"/>
              </w:rPr>
              <w:t>Direktor</w:t>
            </w:r>
            <w:r w:rsidR="007A6DA8" w:rsidRPr="004338BB">
              <w:rPr>
                <w:szCs w:val="24"/>
              </w:rPr>
              <w:t>i</w:t>
            </w:r>
            <w:r w:rsidR="00672635">
              <w:rPr>
                <w:szCs w:val="24"/>
              </w:rPr>
              <w:t>a</w:t>
            </w:r>
            <w:r w:rsidRPr="004338BB">
              <w:rPr>
                <w:szCs w:val="24"/>
              </w:rPr>
              <w:t>us</w:t>
            </w:r>
            <w:r w:rsidR="00672635">
              <w:rPr>
                <w:szCs w:val="24"/>
              </w:rPr>
              <w:t xml:space="preserve"> pavaduotojas,</w:t>
            </w:r>
          </w:p>
          <w:p w14:paraId="316F9638" w14:textId="77777777" w:rsidR="00672635" w:rsidRPr="004338BB" w:rsidRDefault="00672635" w:rsidP="0007323F">
            <w:pPr>
              <w:tabs>
                <w:tab w:val="left" w:pos="7797"/>
              </w:tabs>
              <w:spacing w:line="312" w:lineRule="auto"/>
              <w:rPr>
                <w:szCs w:val="24"/>
              </w:rPr>
            </w:pPr>
            <w:r>
              <w:rPr>
                <w:szCs w:val="24"/>
              </w:rPr>
              <w:t>atliekantis direktoriaus funkcijas</w:t>
            </w:r>
          </w:p>
        </w:tc>
        <w:tc>
          <w:tcPr>
            <w:tcW w:w="4003" w:type="dxa"/>
            <w:shd w:val="clear" w:color="auto" w:fill="auto"/>
          </w:tcPr>
          <w:p w14:paraId="20E2BCC9" w14:textId="77777777" w:rsidR="00127909" w:rsidRPr="004338BB" w:rsidRDefault="00E44C20" w:rsidP="0007323F">
            <w:pPr>
              <w:tabs>
                <w:tab w:val="left" w:pos="7797"/>
              </w:tabs>
              <w:spacing w:line="312" w:lineRule="auto"/>
              <w:jc w:val="right"/>
              <w:rPr>
                <w:szCs w:val="24"/>
              </w:rPr>
            </w:pPr>
            <w:r>
              <w:rPr>
                <w:szCs w:val="24"/>
              </w:rPr>
              <w:t>Artūras Kavolis</w:t>
            </w:r>
          </w:p>
        </w:tc>
      </w:tr>
    </w:tbl>
    <w:p w14:paraId="510D4FE7" w14:textId="77777777" w:rsidR="008D75E5" w:rsidRDefault="008D75E5" w:rsidP="0007323F">
      <w:pPr>
        <w:spacing w:line="312" w:lineRule="auto"/>
      </w:pPr>
    </w:p>
    <w:p w14:paraId="06BF2225" w14:textId="77777777" w:rsidR="00066617" w:rsidRDefault="00066617" w:rsidP="0007323F">
      <w:pPr>
        <w:spacing w:line="312" w:lineRule="auto"/>
      </w:pPr>
    </w:p>
    <w:p w14:paraId="6D8D9505" w14:textId="77777777" w:rsidR="00E86A27" w:rsidRDefault="00E86A27" w:rsidP="0007323F">
      <w:pPr>
        <w:spacing w:line="312" w:lineRule="auto"/>
      </w:pPr>
    </w:p>
    <w:p w14:paraId="6B9AC7C4" w14:textId="77777777" w:rsidR="00E86A27" w:rsidRDefault="00E86A27" w:rsidP="0007323F">
      <w:pPr>
        <w:spacing w:line="312" w:lineRule="auto"/>
      </w:pPr>
    </w:p>
    <w:p w14:paraId="2BEE9A39" w14:textId="77777777" w:rsidR="00E86A27" w:rsidRDefault="00E86A27" w:rsidP="0007323F">
      <w:pPr>
        <w:spacing w:line="312" w:lineRule="auto"/>
      </w:pPr>
    </w:p>
    <w:p w14:paraId="7B9F4576" w14:textId="77777777" w:rsidR="00E86A27" w:rsidRDefault="00E86A27" w:rsidP="0007323F">
      <w:pPr>
        <w:spacing w:line="312" w:lineRule="auto"/>
      </w:pPr>
    </w:p>
    <w:p w14:paraId="2838A805" w14:textId="77777777" w:rsidR="00E86A27" w:rsidRDefault="00E86A27" w:rsidP="0007323F">
      <w:pPr>
        <w:spacing w:line="312" w:lineRule="auto"/>
      </w:pPr>
    </w:p>
    <w:p w14:paraId="20928DE0" w14:textId="77777777" w:rsidR="00E86A27" w:rsidRDefault="00E86A27" w:rsidP="0007323F">
      <w:pPr>
        <w:spacing w:line="312" w:lineRule="auto"/>
      </w:pPr>
    </w:p>
    <w:p w14:paraId="31599DD9" w14:textId="77777777" w:rsidR="00E86A27" w:rsidRDefault="00E86A27" w:rsidP="0007323F">
      <w:pPr>
        <w:spacing w:line="312" w:lineRule="auto"/>
      </w:pPr>
    </w:p>
    <w:p w14:paraId="56094EA5" w14:textId="77777777" w:rsidR="00E86A27" w:rsidRDefault="00E86A27" w:rsidP="0007323F">
      <w:pPr>
        <w:spacing w:line="312" w:lineRule="auto"/>
      </w:pPr>
    </w:p>
    <w:p w14:paraId="3E1AEE5A" w14:textId="77777777" w:rsidR="00E86A27" w:rsidRDefault="00E86A27" w:rsidP="0007323F">
      <w:pPr>
        <w:spacing w:line="312" w:lineRule="auto"/>
      </w:pPr>
    </w:p>
    <w:p w14:paraId="2A36C771" w14:textId="77777777" w:rsidR="00E86A27" w:rsidRDefault="00E86A27" w:rsidP="0007323F">
      <w:pPr>
        <w:spacing w:line="312" w:lineRule="auto"/>
      </w:pPr>
    </w:p>
    <w:p w14:paraId="128DFE3D" w14:textId="77777777" w:rsidR="00E86A27" w:rsidRDefault="00E86A27" w:rsidP="0007323F">
      <w:pPr>
        <w:spacing w:line="312" w:lineRule="auto"/>
      </w:pPr>
    </w:p>
    <w:p w14:paraId="6C5F28DF" w14:textId="77777777" w:rsidR="006A0456" w:rsidRDefault="006A0456" w:rsidP="0007323F">
      <w:pPr>
        <w:spacing w:line="312" w:lineRule="auto"/>
      </w:pPr>
    </w:p>
    <w:p w14:paraId="19AFF47E" w14:textId="77777777" w:rsidR="006A0456" w:rsidRDefault="006A0456" w:rsidP="0007323F">
      <w:pPr>
        <w:spacing w:line="312" w:lineRule="auto"/>
      </w:pPr>
    </w:p>
    <w:p w14:paraId="0E433475" w14:textId="77777777" w:rsidR="006A0456" w:rsidRDefault="006A0456" w:rsidP="0007323F">
      <w:pPr>
        <w:spacing w:line="312" w:lineRule="auto"/>
      </w:pPr>
    </w:p>
    <w:p w14:paraId="43402633" w14:textId="77777777" w:rsidR="006A0456" w:rsidRDefault="006A0456" w:rsidP="0007323F">
      <w:pPr>
        <w:spacing w:line="312" w:lineRule="auto"/>
      </w:pPr>
    </w:p>
    <w:p w14:paraId="0F064720" w14:textId="77777777" w:rsidR="006A0456" w:rsidRDefault="006A0456" w:rsidP="0007323F">
      <w:pPr>
        <w:spacing w:line="312" w:lineRule="auto"/>
      </w:pPr>
    </w:p>
    <w:p w14:paraId="7EE34CDF" w14:textId="77777777" w:rsidR="006A0456" w:rsidRDefault="006A0456" w:rsidP="0007323F">
      <w:pPr>
        <w:spacing w:line="312" w:lineRule="auto"/>
      </w:pPr>
    </w:p>
    <w:p w14:paraId="7108F454" w14:textId="77777777" w:rsidR="006A0456" w:rsidRDefault="006A0456" w:rsidP="0007323F">
      <w:pPr>
        <w:spacing w:line="312" w:lineRule="auto"/>
      </w:pPr>
    </w:p>
    <w:p w14:paraId="7F923B50" w14:textId="77777777" w:rsidR="006A0456" w:rsidRDefault="006A0456" w:rsidP="0007323F">
      <w:pPr>
        <w:spacing w:line="312" w:lineRule="auto"/>
      </w:pPr>
    </w:p>
    <w:p w14:paraId="27FA758F" w14:textId="77777777" w:rsidR="00E86A27" w:rsidRDefault="00E86A27" w:rsidP="0007323F">
      <w:pPr>
        <w:spacing w:line="312" w:lineRule="auto"/>
      </w:pPr>
    </w:p>
    <w:p w14:paraId="4E7CAE6A" w14:textId="77777777" w:rsidR="00E86A27" w:rsidRDefault="00E86A27" w:rsidP="0007323F">
      <w:pPr>
        <w:spacing w:line="312" w:lineRule="auto"/>
      </w:pPr>
    </w:p>
    <w:p w14:paraId="203BEC94" w14:textId="77777777" w:rsidR="0047712B" w:rsidRDefault="0047712B" w:rsidP="0007323F">
      <w:pPr>
        <w:pStyle w:val="Porat"/>
        <w:spacing w:line="312" w:lineRule="auto"/>
      </w:pPr>
    </w:p>
    <w:p w14:paraId="35EFBBF7" w14:textId="77777777" w:rsidR="0047712B" w:rsidRDefault="0047712B" w:rsidP="0007323F">
      <w:pPr>
        <w:pStyle w:val="Porat"/>
        <w:spacing w:line="312" w:lineRule="auto"/>
      </w:pPr>
    </w:p>
    <w:p w14:paraId="490AB02C" w14:textId="77777777" w:rsidR="0047712B" w:rsidRDefault="0047712B" w:rsidP="0007323F">
      <w:pPr>
        <w:pStyle w:val="Porat"/>
        <w:spacing w:line="312" w:lineRule="auto"/>
      </w:pPr>
    </w:p>
    <w:p w14:paraId="3A155FBA" w14:textId="77777777" w:rsidR="0047712B" w:rsidRDefault="0047712B" w:rsidP="0007323F">
      <w:pPr>
        <w:pStyle w:val="Porat"/>
        <w:spacing w:line="312" w:lineRule="auto"/>
      </w:pPr>
    </w:p>
    <w:p w14:paraId="610630F2" w14:textId="77777777" w:rsidR="0047712B" w:rsidRDefault="0047712B" w:rsidP="0007323F">
      <w:pPr>
        <w:pStyle w:val="Porat"/>
        <w:spacing w:line="312" w:lineRule="auto"/>
      </w:pPr>
    </w:p>
    <w:p w14:paraId="45908D9A" w14:textId="77777777" w:rsidR="0047712B" w:rsidRDefault="0047712B" w:rsidP="0007323F">
      <w:pPr>
        <w:pStyle w:val="Porat"/>
        <w:spacing w:line="312" w:lineRule="auto"/>
      </w:pPr>
    </w:p>
    <w:p w14:paraId="5595370B" w14:textId="77777777" w:rsidR="0047712B" w:rsidRDefault="0047712B" w:rsidP="0007323F">
      <w:pPr>
        <w:pStyle w:val="Porat"/>
        <w:spacing w:line="312" w:lineRule="auto"/>
      </w:pPr>
    </w:p>
    <w:p w14:paraId="586D82A0" w14:textId="77777777" w:rsidR="0047712B" w:rsidRDefault="0047712B" w:rsidP="0007323F">
      <w:pPr>
        <w:pStyle w:val="Porat"/>
        <w:spacing w:line="312" w:lineRule="auto"/>
      </w:pPr>
      <w:bookmarkStart w:id="0" w:name="_GoBack"/>
      <w:bookmarkEnd w:id="0"/>
    </w:p>
    <w:sectPr w:rsidR="0047712B" w:rsidSect="00CF442D">
      <w:headerReference w:type="even" r:id="rId15"/>
      <w:headerReference w:type="default" r:id="rId16"/>
      <w:headerReference w:type="first" r:id="rId17"/>
      <w:footerReference w:type="first" r:id="rId18"/>
      <w:pgSz w:w="11906" w:h="16838" w:code="9"/>
      <w:pgMar w:top="1260" w:right="849" w:bottom="1134" w:left="1701" w:header="567"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3552C" w14:textId="77777777" w:rsidR="002071CC" w:rsidRDefault="002071CC" w:rsidP="002051C9">
      <w:r>
        <w:separator/>
      </w:r>
    </w:p>
  </w:endnote>
  <w:endnote w:type="continuationSeparator" w:id="0">
    <w:p w14:paraId="420B1F50" w14:textId="77777777" w:rsidR="002071CC" w:rsidRDefault="002071CC" w:rsidP="0020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8F7D6" w14:textId="77777777" w:rsidR="00564B01" w:rsidRPr="00532465" w:rsidRDefault="00564B01">
    <w:pPr>
      <w:rPr>
        <w:color w:val="0000FF"/>
        <w:u w:val="single"/>
      </w:rPr>
    </w:pPr>
  </w:p>
  <w:tbl>
    <w:tblPr>
      <w:tblStyle w:val="Lentelstinklelis"/>
      <w:tblW w:w="10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gridCol w:w="853"/>
    </w:tblGrid>
    <w:tr w:rsidR="00564B01" w14:paraId="7396954E" w14:textId="77777777" w:rsidTr="00C527D1">
      <w:trPr>
        <w:trHeight w:val="1560"/>
      </w:trPr>
      <w:tc>
        <w:tcPr>
          <w:tcW w:w="9498" w:type="dxa"/>
        </w:tcPr>
        <w:p w14:paraId="1088B977" w14:textId="77777777" w:rsidR="00564B01" w:rsidRDefault="00564B01" w:rsidP="00221A5A">
          <w:pPr>
            <w:pStyle w:val="Porat"/>
            <w:jc w:val="right"/>
          </w:pPr>
          <w:r w:rsidRPr="00583A2C">
            <w:rPr>
              <w:noProof/>
              <w:lang w:eastAsia="lt-LT"/>
            </w:rPr>
            <w:drawing>
              <wp:inline distT="0" distB="0" distL="0" distR="0" wp14:anchorId="405D6397" wp14:editId="59C27524">
                <wp:extent cx="1407160" cy="739775"/>
                <wp:effectExtent l="0" t="0" r="2540" b="3175"/>
                <wp:docPr id="4"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739775"/>
                        </a:xfrm>
                        <a:prstGeom prst="rect">
                          <a:avLst/>
                        </a:prstGeom>
                        <a:noFill/>
                        <a:ln>
                          <a:noFill/>
                        </a:ln>
                      </pic:spPr>
                    </pic:pic>
                  </a:graphicData>
                </a:graphic>
              </wp:inline>
            </w:drawing>
          </w:r>
        </w:p>
      </w:tc>
      <w:tc>
        <w:tcPr>
          <w:tcW w:w="853" w:type="dxa"/>
        </w:tcPr>
        <w:p w14:paraId="683FD335" w14:textId="77777777" w:rsidR="00564B01" w:rsidRDefault="00564B01">
          <w:pPr>
            <w:pStyle w:val="Porat"/>
          </w:pPr>
        </w:p>
      </w:tc>
    </w:tr>
  </w:tbl>
  <w:p w14:paraId="72EAD79B" w14:textId="77777777" w:rsidR="00564B01" w:rsidRPr="00C25C04" w:rsidRDefault="00564B0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6E03F" w14:textId="77777777" w:rsidR="002071CC" w:rsidRDefault="002071CC" w:rsidP="002051C9">
      <w:r>
        <w:separator/>
      </w:r>
    </w:p>
  </w:footnote>
  <w:footnote w:type="continuationSeparator" w:id="0">
    <w:p w14:paraId="0969586C" w14:textId="77777777" w:rsidR="002071CC" w:rsidRDefault="002071CC" w:rsidP="00205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42F55" w14:textId="77777777" w:rsidR="00564B01" w:rsidRDefault="00564B01" w:rsidP="00564B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D289950" w14:textId="77777777" w:rsidR="00564B01" w:rsidRDefault="00564B01">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544791"/>
      <w:docPartObj>
        <w:docPartGallery w:val="Page Numbers (Top of Page)"/>
        <w:docPartUnique/>
      </w:docPartObj>
    </w:sdtPr>
    <w:sdtEndPr/>
    <w:sdtContent>
      <w:p w14:paraId="221A104A" w14:textId="4BB9A60E" w:rsidR="00564B01" w:rsidRDefault="00564B01">
        <w:pPr>
          <w:pStyle w:val="Antrats"/>
          <w:jc w:val="center"/>
        </w:pPr>
        <w:r>
          <w:fldChar w:fldCharType="begin"/>
        </w:r>
        <w:r>
          <w:instrText>PAGE   \* MERGEFORMAT</w:instrText>
        </w:r>
        <w:r>
          <w:fldChar w:fldCharType="separate"/>
        </w:r>
        <w:r w:rsidR="00805CF7">
          <w:rPr>
            <w:noProof/>
          </w:rPr>
          <w:t>3</w:t>
        </w:r>
        <w:r>
          <w:fldChar w:fldCharType="end"/>
        </w:r>
      </w:p>
    </w:sdtContent>
  </w:sdt>
  <w:p w14:paraId="5CEFAFC9" w14:textId="77777777" w:rsidR="00564B01" w:rsidRDefault="00564B0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676C0" w14:textId="4673EB0C" w:rsidR="00805CF7" w:rsidRDefault="00805CF7" w:rsidP="00805CF7">
    <w:pPr>
      <w:pStyle w:val="Antrats"/>
      <w:jc w:val="right"/>
    </w:pPr>
    <w:r>
      <w:t>Pasirašyta el. parašu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070AC"/>
    <w:multiLevelType w:val="hybridMultilevel"/>
    <w:tmpl w:val="DF182C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2761EF"/>
    <w:multiLevelType w:val="hybridMultilevel"/>
    <w:tmpl w:val="AE8CAAEA"/>
    <w:lvl w:ilvl="0" w:tplc="E5FA4FB2">
      <w:start w:val="1"/>
      <w:numFmt w:val="decimal"/>
      <w:lvlText w:val="%1)"/>
      <w:lvlJc w:val="left"/>
      <w:pPr>
        <w:ind w:left="967" w:hanging="360"/>
      </w:pPr>
      <w:rPr>
        <w:rFonts w:hint="default"/>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2" w15:restartNumberingAfterBreak="0">
    <w:nsid w:val="3F026094"/>
    <w:multiLevelType w:val="hybridMultilevel"/>
    <w:tmpl w:val="3932B914"/>
    <w:lvl w:ilvl="0" w:tplc="482AD33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4C5F149D"/>
    <w:multiLevelType w:val="hybridMultilevel"/>
    <w:tmpl w:val="95E035EC"/>
    <w:lvl w:ilvl="0" w:tplc="722EDC6C">
      <w:numFmt w:val="bullet"/>
      <w:lvlText w:val="-"/>
      <w:lvlJc w:val="left"/>
      <w:pPr>
        <w:ind w:left="907" w:hanging="360"/>
      </w:pPr>
      <w:rPr>
        <w:rFonts w:ascii="Times New Roman" w:eastAsia="Times New Roman" w:hAnsi="Times New Roman" w:cs="Times New Roman" w:hint="default"/>
      </w:rPr>
    </w:lvl>
    <w:lvl w:ilvl="1" w:tplc="04270003" w:tentative="1">
      <w:start w:val="1"/>
      <w:numFmt w:val="bullet"/>
      <w:lvlText w:val="o"/>
      <w:lvlJc w:val="left"/>
      <w:pPr>
        <w:ind w:left="1627" w:hanging="360"/>
      </w:pPr>
      <w:rPr>
        <w:rFonts w:ascii="Courier New" w:hAnsi="Courier New" w:cs="Courier New" w:hint="default"/>
      </w:rPr>
    </w:lvl>
    <w:lvl w:ilvl="2" w:tplc="04270005" w:tentative="1">
      <w:start w:val="1"/>
      <w:numFmt w:val="bullet"/>
      <w:lvlText w:val=""/>
      <w:lvlJc w:val="left"/>
      <w:pPr>
        <w:ind w:left="2347" w:hanging="360"/>
      </w:pPr>
      <w:rPr>
        <w:rFonts w:ascii="Wingdings" w:hAnsi="Wingdings" w:hint="default"/>
      </w:rPr>
    </w:lvl>
    <w:lvl w:ilvl="3" w:tplc="04270001" w:tentative="1">
      <w:start w:val="1"/>
      <w:numFmt w:val="bullet"/>
      <w:lvlText w:val=""/>
      <w:lvlJc w:val="left"/>
      <w:pPr>
        <w:ind w:left="3067" w:hanging="360"/>
      </w:pPr>
      <w:rPr>
        <w:rFonts w:ascii="Symbol" w:hAnsi="Symbol" w:hint="default"/>
      </w:rPr>
    </w:lvl>
    <w:lvl w:ilvl="4" w:tplc="04270003" w:tentative="1">
      <w:start w:val="1"/>
      <w:numFmt w:val="bullet"/>
      <w:lvlText w:val="o"/>
      <w:lvlJc w:val="left"/>
      <w:pPr>
        <w:ind w:left="3787" w:hanging="360"/>
      </w:pPr>
      <w:rPr>
        <w:rFonts w:ascii="Courier New" w:hAnsi="Courier New" w:cs="Courier New" w:hint="default"/>
      </w:rPr>
    </w:lvl>
    <w:lvl w:ilvl="5" w:tplc="04270005" w:tentative="1">
      <w:start w:val="1"/>
      <w:numFmt w:val="bullet"/>
      <w:lvlText w:val=""/>
      <w:lvlJc w:val="left"/>
      <w:pPr>
        <w:ind w:left="4507" w:hanging="360"/>
      </w:pPr>
      <w:rPr>
        <w:rFonts w:ascii="Wingdings" w:hAnsi="Wingdings" w:hint="default"/>
      </w:rPr>
    </w:lvl>
    <w:lvl w:ilvl="6" w:tplc="04270001" w:tentative="1">
      <w:start w:val="1"/>
      <w:numFmt w:val="bullet"/>
      <w:lvlText w:val=""/>
      <w:lvlJc w:val="left"/>
      <w:pPr>
        <w:ind w:left="5227" w:hanging="360"/>
      </w:pPr>
      <w:rPr>
        <w:rFonts w:ascii="Symbol" w:hAnsi="Symbol" w:hint="default"/>
      </w:rPr>
    </w:lvl>
    <w:lvl w:ilvl="7" w:tplc="04270003" w:tentative="1">
      <w:start w:val="1"/>
      <w:numFmt w:val="bullet"/>
      <w:lvlText w:val="o"/>
      <w:lvlJc w:val="left"/>
      <w:pPr>
        <w:ind w:left="5947" w:hanging="360"/>
      </w:pPr>
      <w:rPr>
        <w:rFonts w:ascii="Courier New" w:hAnsi="Courier New" w:cs="Courier New" w:hint="default"/>
      </w:rPr>
    </w:lvl>
    <w:lvl w:ilvl="8" w:tplc="04270005" w:tentative="1">
      <w:start w:val="1"/>
      <w:numFmt w:val="bullet"/>
      <w:lvlText w:val=""/>
      <w:lvlJc w:val="left"/>
      <w:pPr>
        <w:ind w:left="6667" w:hanging="360"/>
      </w:pPr>
      <w:rPr>
        <w:rFonts w:ascii="Wingdings" w:hAnsi="Wingdings" w:hint="default"/>
      </w:rPr>
    </w:lvl>
  </w:abstractNum>
  <w:abstractNum w:abstractNumId="4" w15:restartNumberingAfterBreak="0">
    <w:nsid w:val="60B01371"/>
    <w:multiLevelType w:val="hybridMultilevel"/>
    <w:tmpl w:val="5EAE8F44"/>
    <w:lvl w:ilvl="0" w:tplc="51CA2E66">
      <w:start w:val="1"/>
      <w:numFmt w:val="decimal"/>
      <w:lvlText w:val="%1."/>
      <w:lvlJc w:val="left"/>
      <w:pPr>
        <w:ind w:left="907" w:hanging="360"/>
      </w:pPr>
      <w:rPr>
        <w:rFonts w:hint="default"/>
      </w:rPr>
    </w:lvl>
    <w:lvl w:ilvl="1" w:tplc="04270019" w:tentative="1">
      <w:start w:val="1"/>
      <w:numFmt w:val="lowerLetter"/>
      <w:lvlText w:val="%2."/>
      <w:lvlJc w:val="left"/>
      <w:pPr>
        <w:ind w:left="1627" w:hanging="360"/>
      </w:pPr>
    </w:lvl>
    <w:lvl w:ilvl="2" w:tplc="0427001B" w:tentative="1">
      <w:start w:val="1"/>
      <w:numFmt w:val="lowerRoman"/>
      <w:lvlText w:val="%3."/>
      <w:lvlJc w:val="right"/>
      <w:pPr>
        <w:ind w:left="2347" w:hanging="180"/>
      </w:pPr>
    </w:lvl>
    <w:lvl w:ilvl="3" w:tplc="0427000F" w:tentative="1">
      <w:start w:val="1"/>
      <w:numFmt w:val="decimal"/>
      <w:lvlText w:val="%4."/>
      <w:lvlJc w:val="left"/>
      <w:pPr>
        <w:ind w:left="3067" w:hanging="360"/>
      </w:pPr>
    </w:lvl>
    <w:lvl w:ilvl="4" w:tplc="04270019" w:tentative="1">
      <w:start w:val="1"/>
      <w:numFmt w:val="lowerLetter"/>
      <w:lvlText w:val="%5."/>
      <w:lvlJc w:val="left"/>
      <w:pPr>
        <w:ind w:left="3787" w:hanging="360"/>
      </w:pPr>
    </w:lvl>
    <w:lvl w:ilvl="5" w:tplc="0427001B" w:tentative="1">
      <w:start w:val="1"/>
      <w:numFmt w:val="lowerRoman"/>
      <w:lvlText w:val="%6."/>
      <w:lvlJc w:val="right"/>
      <w:pPr>
        <w:ind w:left="4507" w:hanging="180"/>
      </w:pPr>
    </w:lvl>
    <w:lvl w:ilvl="6" w:tplc="0427000F" w:tentative="1">
      <w:start w:val="1"/>
      <w:numFmt w:val="decimal"/>
      <w:lvlText w:val="%7."/>
      <w:lvlJc w:val="left"/>
      <w:pPr>
        <w:ind w:left="5227" w:hanging="360"/>
      </w:pPr>
    </w:lvl>
    <w:lvl w:ilvl="7" w:tplc="04270019" w:tentative="1">
      <w:start w:val="1"/>
      <w:numFmt w:val="lowerLetter"/>
      <w:lvlText w:val="%8."/>
      <w:lvlJc w:val="left"/>
      <w:pPr>
        <w:ind w:left="5947" w:hanging="360"/>
      </w:pPr>
    </w:lvl>
    <w:lvl w:ilvl="8" w:tplc="0427001B" w:tentative="1">
      <w:start w:val="1"/>
      <w:numFmt w:val="lowerRoman"/>
      <w:lvlText w:val="%9."/>
      <w:lvlJc w:val="right"/>
      <w:pPr>
        <w:ind w:left="6667"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79"/>
    <w:rsid w:val="0000244C"/>
    <w:rsid w:val="00002C3B"/>
    <w:rsid w:val="00010BD4"/>
    <w:rsid w:val="00011299"/>
    <w:rsid w:val="00015C46"/>
    <w:rsid w:val="00016C2F"/>
    <w:rsid w:val="0002637C"/>
    <w:rsid w:val="0003556F"/>
    <w:rsid w:val="00037B6D"/>
    <w:rsid w:val="00042391"/>
    <w:rsid w:val="00042619"/>
    <w:rsid w:val="0004767A"/>
    <w:rsid w:val="00051DF6"/>
    <w:rsid w:val="00063E84"/>
    <w:rsid w:val="00066617"/>
    <w:rsid w:val="0007323F"/>
    <w:rsid w:val="00073CDF"/>
    <w:rsid w:val="00075C16"/>
    <w:rsid w:val="000761E6"/>
    <w:rsid w:val="00090A46"/>
    <w:rsid w:val="0009512E"/>
    <w:rsid w:val="000972AB"/>
    <w:rsid w:val="000A158E"/>
    <w:rsid w:val="000A1F50"/>
    <w:rsid w:val="000A2C7A"/>
    <w:rsid w:val="000A4CDC"/>
    <w:rsid w:val="000A6012"/>
    <w:rsid w:val="000B40A7"/>
    <w:rsid w:val="000B6231"/>
    <w:rsid w:val="000B6934"/>
    <w:rsid w:val="000C6740"/>
    <w:rsid w:val="000C6D1E"/>
    <w:rsid w:val="000C7154"/>
    <w:rsid w:val="000C7167"/>
    <w:rsid w:val="000D10BC"/>
    <w:rsid w:val="000D4843"/>
    <w:rsid w:val="000E4B33"/>
    <w:rsid w:val="000F12E9"/>
    <w:rsid w:val="000F189C"/>
    <w:rsid w:val="000F1A97"/>
    <w:rsid w:val="000F4A93"/>
    <w:rsid w:val="00115813"/>
    <w:rsid w:val="001161EB"/>
    <w:rsid w:val="00117567"/>
    <w:rsid w:val="00120405"/>
    <w:rsid w:val="00122845"/>
    <w:rsid w:val="00127909"/>
    <w:rsid w:val="00133A56"/>
    <w:rsid w:val="001402BB"/>
    <w:rsid w:val="00142FC6"/>
    <w:rsid w:val="00151D3C"/>
    <w:rsid w:val="00151E1D"/>
    <w:rsid w:val="00154CBE"/>
    <w:rsid w:val="00163334"/>
    <w:rsid w:val="00163FA0"/>
    <w:rsid w:val="00165551"/>
    <w:rsid w:val="001700FC"/>
    <w:rsid w:val="00176CA6"/>
    <w:rsid w:val="001777E5"/>
    <w:rsid w:val="00177856"/>
    <w:rsid w:val="0018101E"/>
    <w:rsid w:val="00182962"/>
    <w:rsid w:val="001836E9"/>
    <w:rsid w:val="00185088"/>
    <w:rsid w:val="00185441"/>
    <w:rsid w:val="001856B4"/>
    <w:rsid w:val="001A35BC"/>
    <w:rsid w:val="001B01A9"/>
    <w:rsid w:val="001B504D"/>
    <w:rsid w:val="001B5206"/>
    <w:rsid w:val="001B5815"/>
    <w:rsid w:val="001B59C4"/>
    <w:rsid w:val="001B6103"/>
    <w:rsid w:val="001C10C2"/>
    <w:rsid w:val="001C162C"/>
    <w:rsid w:val="001D0C2E"/>
    <w:rsid w:val="001E3450"/>
    <w:rsid w:val="001E6520"/>
    <w:rsid w:val="001F1DAF"/>
    <w:rsid w:val="001F2EB1"/>
    <w:rsid w:val="001F4D4E"/>
    <w:rsid w:val="001F6404"/>
    <w:rsid w:val="001F68AC"/>
    <w:rsid w:val="001F7092"/>
    <w:rsid w:val="002017D1"/>
    <w:rsid w:val="002051C9"/>
    <w:rsid w:val="00206384"/>
    <w:rsid w:val="002071CC"/>
    <w:rsid w:val="002144FD"/>
    <w:rsid w:val="00221177"/>
    <w:rsid w:val="00221A5A"/>
    <w:rsid w:val="00224602"/>
    <w:rsid w:val="00230194"/>
    <w:rsid w:val="0023272E"/>
    <w:rsid w:val="00232FF5"/>
    <w:rsid w:val="00242656"/>
    <w:rsid w:val="00242A2B"/>
    <w:rsid w:val="002474BC"/>
    <w:rsid w:val="0025377E"/>
    <w:rsid w:val="002605C4"/>
    <w:rsid w:val="00261B10"/>
    <w:rsid w:val="002731B5"/>
    <w:rsid w:val="00276947"/>
    <w:rsid w:val="0027795C"/>
    <w:rsid w:val="00291770"/>
    <w:rsid w:val="00294305"/>
    <w:rsid w:val="00296E61"/>
    <w:rsid w:val="002A004C"/>
    <w:rsid w:val="002A24AD"/>
    <w:rsid w:val="002A71DB"/>
    <w:rsid w:val="002B7F27"/>
    <w:rsid w:val="002C25E7"/>
    <w:rsid w:val="002C683B"/>
    <w:rsid w:val="002D001F"/>
    <w:rsid w:val="002D026B"/>
    <w:rsid w:val="002D18DB"/>
    <w:rsid w:val="002D2468"/>
    <w:rsid w:val="002E224B"/>
    <w:rsid w:val="002E47EB"/>
    <w:rsid w:val="00303BEE"/>
    <w:rsid w:val="00322F6C"/>
    <w:rsid w:val="0033482C"/>
    <w:rsid w:val="00340F2D"/>
    <w:rsid w:val="003449B3"/>
    <w:rsid w:val="00344C87"/>
    <w:rsid w:val="00353AAA"/>
    <w:rsid w:val="00361B07"/>
    <w:rsid w:val="00362121"/>
    <w:rsid w:val="003672FE"/>
    <w:rsid w:val="00373A68"/>
    <w:rsid w:val="00376E6E"/>
    <w:rsid w:val="003843C9"/>
    <w:rsid w:val="003872CD"/>
    <w:rsid w:val="003C6E51"/>
    <w:rsid w:val="003E4456"/>
    <w:rsid w:val="003E70CB"/>
    <w:rsid w:val="003E79FC"/>
    <w:rsid w:val="003F16FB"/>
    <w:rsid w:val="003F57C0"/>
    <w:rsid w:val="003F7779"/>
    <w:rsid w:val="00400B2C"/>
    <w:rsid w:val="00405188"/>
    <w:rsid w:val="004175C8"/>
    <w:rsid w:val="00417843"/>
    <w:rsid w:val="00424DE8"/>
    <w:rsid w:val="00425A10"/>
    <w:rsid w:val="004338BB"/>
    <w:rsid w:val="00437218"/>
    <w:rsid w:val="004423EE"/>
    <w:rsid w:val="004501D6"/>
    <w:rsid w:val="00452C20"/>
    <w:rsid w:val="004576C5"/>
    <w:rsid w:val="00461B3D"/>
    <w:rsid w:val="004626EE"/>
    <w:rsid w:val="00465854"/>
    <w:rsid w:val="0047712B"/>
    <w:rsid w:val="00480A30"/>
    <w:rsid w:val="0048427D"/>
    <w:rsid w:val="004850A9"/>
    <w:rsid w:val="00486997"/>
    <w:rsid w:val="00486E47"/>
    <w:rsid w:val="004875CE"/>
    <w:rsid w:val="00491692"/>
    <w:rsid w:val="0049612A"/>
    <w:rsid w:val="004A0266"/>
    <w:rsid w:val="004A34C3"/>
    <w:rsid w:val="004B3270"/>
    <w:rsid w:val="004B47A8"/>
    <w:rsid w:val="004D78C9"/>
    <w:rsid w:val="004E082F"/>
    <w:rsid w:val="004F34B0"/>
    <w:rsid w:val="004F6F53"/>
    <w:rsid w:val="00506E5D"/>
    <w:rsid w:val="0051340E"/>
    <w:rsid w:val="00517344"/>
    <w:rsid w:val="00524A13"/>
    <w:rsid w:val="00532465"/>
    <w:rsid w:val="00536150"/>
    <w:rsid w:val="005369AD"/>
    <w:rsid w:val="00555529"/>
    <w:rsid w:val="0055628F"/>
    <w:rsid w:val="00556920"/>
    <w:rsid w:val="00556DD7"/>
    <w:rsid w:val="00561185"/>
    <w:rsid w:val="005629FC"/>
    <w:rsid w:val="00564B01"/>
    <w:rsid w:val="00575382"/>
    <w:rsid w:val="00575DE4"/>
    <w:rsid w:val="0057700F"/>
    <w:rsid w:val="00585174"/>
    <w:rsid w:val="005868A8"/>
    <w:rsid w:val="005878DC"/>
    <w:rsid w:val="005909F5"/>
    <w:rsid w:val="0059208E"/>
    <w:rsid w:val="0059229B"/>
    <w:rsid w:val="0059408E"/>
    <w:rsid w:val="0059486D"/>
    <w:rsid w:val="0059605E"/>
    <w:rsid w:val="00597513"/>
    <w:rsid w:val="005A5C66"/>
    <w:rsid w:val="005B1A23"/>
    <w:rsid w:val="005B3660"/>
    <w:rsid w:val="005B3689"/>
    <w:rsid w:val="005B4B27"/>
    <w:rsid w:val="005C1116"/>
    <w:rsid w:val="005D494A"/>
    <w:rsid w:val="0060576F"/>
    <w:rsid w:val="0060642F"/>
    <w:rsid w:val="00606A3B"/>
    <w:rsid w:val="006079EF"/>
    <w:rsid w:val="00610C05"/>
    <w:rsid w:val="006174A2"/>
    <w:rsid w:val="006224F1"/>
    <w:rsid w:val="00626D39"/>
    <w:rsid w:val="00627416"/>
    <w:rsid w:val="00650233"/>
    <w:rsid w:val="00653625"/>
    <w:rsid w:val="00664755"/>
    <w:rsid w:val="00672635"/>
    <w:rsid w:val="00672864"/>
    <w:rsid w:val="006730C2"/>
    <w:rsid w:val="00674995"/>
    <w:rsid w:val="00690E2A"/>
    <w:rsid w:val="006A0456"/>
    <w:rsid w:val="006A070B"/>
    <w:rsid w:val="006A62B8"/>
    <w:rsid w:val="006B5FC1"/>
    <w:rsid w:val="006C1281"/>
    <w:rsid w:val="006C61CE"/>
    <w:rsid w:val="006C7E11"/>
    <w:rsid w:val="006F0957"/>
    <w:rsid w:val="0070415A"/>
    <w:rsid w:val="00705354"/>
    <w:rsid w:val="00707BD3"/>
    <w:rsid w:val="0071085B"/>
    <w:rsid w:val="00712FF2"/>
    <w:rsid w:val="00733F74"/>
    <w:rsid w:val="0074731D"/>
    <w:rsid w:val="007539AA"/>
    <w:rsid w:val="007545BB"/>
    <w:rsid w:val="007632CB"/>
    <w:rsid w:val="00764D07"/>
    <w:rsid w:val="00770F58"/>
    <w:rsid w:val="00783411"/>
    <w:rsid w:val="007A2E18"/>
    <w:rsid w:val="007A6DA8"/>
    <w:rsid w:val="007B1798"/>
    <w:rsid w:val="007B3368"/>
    <w:rsid w:val="007B7E88"/>
    <w:rsid w:val="007C3A44"/>
    <w:rsid w:val="007C3D09"/>
    <w:rsid w:val="007D0E35"/>
    <w:rsid w:val="007D2007"/>
    <w:rsid w:val="007D325D"/>
    <w:rsid w:val="007E54BA"/>
    <w:rsid w:val="00805CF7"/>
    <w:rsid w:val="00812CC2"/>
    <w:rsid w:val="00824286"/>
    <w:rsid w:val="00831588"/>
    <w:rsid w:val="008333BC"/>
    <w:rsid w:val="00834CE9"/>
    <w:rsid w:val="00844929"/>
    <w:rsid w:val="00846A1B"/>
    <w:rsid w:val="008616DB"/>
    <w:rsid w:val="00870777"/>
    <w:rsid w:val="00884388"/>
    <w:rsid w:val="00885DA6"/>
    <w:rsid w:val="00890506"/>
    <w:rsid w:val="00892011"/>
    <w:rsid w:val="00896662"/>
    <w:rsid w:val="008A1CBB"/>
    <w:rsid w:val="008A2B10"/>
    <w:rsid w:val="008B44B9"/>
    <w:rsid w:val="008B556F"/>
    <w:rsid w:val="008C27FB"/>
    <w:rsid w:val="008C47AD"/>
    <w:rsid w:val="008C4E92"/>
    <w:rsid w:val="008D40C8"/>
    <w:rsid w:val="008D75E5"/>
    <w:rsid w:val="008E1F8B"/>
    <w:rsid w:val="008F16F5"/>
    <w:rsid w:val="008F483B"/>
    <w:rsid w:val="008F6AC1"/>
    <w:rsid w:val="00900F9A"/>
    <w:rsid w:val="0091017D"/>
    <w:rsid w:val="00913E9F"/>
    <w:rsid w:val="00917158"/>
    <w:rsid w:val="009215A9"/>
    <w:rsid w:val="00922035"/>
    <w:rsid w:val="00922A1A"/>
    <w:rsid w:val="009232D4"/>
    <w:rsid w:val="009263B1"/>
    <w:rsid w:val="00936AE3"/>
    <w:rsid w:val="00940F68"/>
    <w:rsid w:val="009457B5"/>
    <w:rsid w:val="009459EB"/>
    <w:rsid w:val="00950490"/>
    <w:rsid w:val="00960D88"/>
    <w:rsid w:val="00962BF4"/>
    <w:rsid w:val="009648DA"/>
    <w:rsid w:val="00964FAC"/>
    <w:rsid w:val="009671D7"/>
    <w:rsid w:val="0098556C"/>
    <w:rsid w:val="00995742"/>
    <w:rsid w:val="00996A40"/>
    <w:rsid w:val="009B33C0"/>
    <w:rsid w:val="009C2E86"/>
    <w:rsid w:val="009D1188"/>
    <w:rsid w:val="009D3DE8"/>
    <w:rsid w:val="009D4BE9"/>
    <w:rsid w:val="009D5C6C"/>
    <w:rsid w:val="009E050F"/>
    <w:rsid w:val="009E4E1A"/>
    <w:rsid w:val="009E5A21"/>
    <w:rsid w:val="009F243F"/>
    <w:rsid w:val="00A0132A"/>
    <w:rsid w:val="00A03B01"/>
    <w:rsid w:val="00A06071"/>
    <w:rsid w:val="00A12E5F"/>
    <w:rsid w:val="00A1372F"/>
    <w:rsid w:val="00A31475"/>
    <w:rsid w:val="00A36AE9"/>
    <w:rsid w:val="00A40643"/>
    <w:rsid w:val="00A43D3E"/>
    <w:rsid w:val="00A43D66"/>
    <w:rsid w:val="00A44568"/>
    <w:rsid w:val="00A54DA7"/>
    <w:rsid w:val="00A555E5"/>
    <w:rsid w:val="00A66C11"/>
    <w:rsid w:val="00A6754A"/>
    <w:rsid w:val="00A7269D"/>
    <w:rsid w:val="00A74484"/>
    <w:rsid w:val="00A747E1"/>
    <w:rsid w:val="00A82059"/>
    <w:rsid w:val="00A87369"/>
    <w:rsid w:val="00A915CB"/>
    <w:rsid w:val="00AA13EE"/>
    <w:rsid w:val="00AA4196"/>
    <w:rsid w:val="00AA4877"/>
    <w:rsid w:val="00AB78BB"/>
    <w:rsid w:val="00AD1695"/>
    <w:rsid w:val="00AD25E1"/>
    <w:rsid w:val="00AD3EFB"/>
    <w:rsid w:val="00AD6D22"/>
    <w:rsid w:val="00AE23E2"/>
    <w:rsid w:val="00AF03CA"/>
    <w:rsid w:val="00B00050"/>
    <w:rsid w:val="00B0031A"/>
    <w:rsid w:val="00B0416F"/>
    <w:rsid w:val="00B11FEF"/>
    <w:rsid w:val="00B161B4"/>
    <w:rsid w:val="00B20D4E"/>
    <w:rsid w:val="00B228FF"/>
    <w:rsid w:val="00B24EEF"/>
    <w:rsid w:val="00B256A4"/>
    <w:rsid w:val="00B272CA"/>
    <w:rsid w:val="00B31022"/>
    <w:rsid w:val="00B32931"/>
    <w:rsid w:val="00B34D4A"/>
    <w:rsid w:val="00B3522B"/>
    <w:rsid w:val="00B35FBE"/>
    <w:rsid w:val="00B43CB3"/>
    <w:rsid w:val="00B46F66"/>
    <w:rsid w:val="00B47723"/>
    <w:rsid w:val="00B63BF7"/>
    <w:rsid w:val="00B65845"/>
    <w:rsid w:val="00B65B56"/>
    <w:rsid w:val="00B6799F"/>
    <w:rsid w:val="00B70FD3"/>
    <w:rsid w:val="00B75BE0"/>
    <w:rsid w:val="00B77C63"/>
    <w:rsid w:val="00B90C13"/>
    <w:rsid w:val="00B95C80"/>
    <w:rsid w:val="00BA5CE9"/>
    <w:rsid w:val="00BA7AAA"/>
    <w:rsid w:val="00BB669C"/>
    <w:rsid w:val="00BC06DB"/>
    <w:rsid w:val="00BE07B0"/>
    <w:rsid w:val="00BE0A5E"/>
    <w:rsid w:val="00BE1E5F"/>
    <w:rsid w:val="00BE2375"/>
    <w:rsid w:val="00BE66CF"/>
    <w:rsid w:val="00BF11E9"/>
    <w:rsid w:val="00C01B06"/>
    <w:rsid w:val="00C05091"/>
    <w:rsid w:val="00C2796D"/>
    <w:rsid w:val="00C30370"/>
    <w:rsid w:val="00C3511E"/>
    <w:rsid w:val="00C35A95"/>
    <w:rsid w:val="00C37DB5"/>
    <w:rsid w:val="00C42376"/>
    <w:rsid w:val="00C438CC"/>
    <w:rsid w:val="00C527D1"/>
    <w:rsid w:val="00C55BD7"/>
    <w:rsid w:val="00C611B0"/>
    <w:rsid w:val="00C63A51"/>
    <w:rsid w:val="00C64D66"/>
    <w:rsid w:val="00C710C0"/>
    <w:rsid w:val="00C75B2A"/>
    <w:rsid w:val="00C764D5"/>
    <w:rsid w:val="00C91FF8"/>
    <w:rsid w:val="00C9543D"/>
    <w:rsid w:val="00C95619"/>
    <w:rsid w:val="00CB3618"/>
    <w:rsid w:val="00CD41E8"/>
    <w:rsid w:val="00CE1061"/>
    <w:rsid w:val="00CE7969"/>
    <w:rsid w:val="00CF2195"/>
    <w:rsid w:val="00CF3C91"/>
    <w:rsid w:val="00CF442D"/>
    <w:rsid w:val="00D0195F"/>
    <w:rsid w:val="00D01B17"/>
    <w:rsid w:val="00D04F6C"/>
    <w:rsid w:val="00D06CD5"/>
    <w:rsid w:val="00D1046B"/>
    <w:rsid w:val="00D24D61"/>
    <w:rsid w:val="00D25CE6"/>
    <w:rsid w:val="00D27C27"/>
    <w:rsid w:val="00D301C6"/>
    <w:rsid w:val="00D3102D"/>
    <w:rsid w:val="00D33724"/>
    <w:rsid w:val="00D35FE2"/>
    <w:rsid w:val="00D44A99"/>
    <w:rsid w:val="00D51BC6"/>
    <w:rsid w:val="00D54008"/>
    <w:rsid w:val="00D5512C"/>
    <w:rsid w:val="00D61E03"/>
    <w:rsid w:val="00D62923"/>
    <w:rsid w:val="00D74ADF"/>
    <w:rsid w:val="00D92986"/>
    <w:rsid w:val="00D96484"/>
    <w:rsid w:val="00DA0FE1"/>
    <w:rsid w:val="00DA1516"/>
    <w:rsid w:val="00DA17B4"/>
    <w:rsid w:val="00DA4C3D"/>
    <w:rsid w:val="00DB35C5"/>
    <w:rsid w:val="00DB405D"/>
    <w:rsid w:val="00DB497F"/>
    <w:rsid w:val="00DC12BF"/>
    <w:rsid w:val="00DC6703"/>
    <w:rsid w:val="00DD099C"/>
    <w:rsid w:val="00DD252E"/>
    <w:rsid w:val="00DD25FE"/>
    <w:rsid w:val="00DE3157"/>
    <w:rsid w:val="00DE598A"/>
    <w:rsid w:val="00DF1116"/>
    <w:rsid w:val="00E06CE5"/>
    <w:rsid w:val="00E07A2C"/>
    <w:rsid w:val="00E14FA6"/>
    <w:rsid w:val="00E16563"/>
    <w:rsid w:val="00E20473"/>
    <w:rsid w:val="00E229F4"/>
    <w:rsid w:val="00E24BCB"/>
    <w:rsid w:val="00E24D1E"/>
    <w:rsid w:val="00E30DB3"/>
    <w:rsid w:val="00E40D49"/>
    <w:rsid w:val="00E412CE"/>
    <w:rsid w:val="00E4234C"/>
    <w:rsid w:val="00E44C20"/>
    <w:rsid w:val="00E53099"/>
    <w:rsid w:val="00E62034"/>
    <w:rsid w:val="00E66CCF"/>
    <w:rsid w:val="00E70942"/>
    <w:rsid w:val="00E72802"/>
    <w:rsid w:val="00E72927"/>
    <w:rsid w:val="00E86A27"/>
    <w:rsid w:val="00E9113E"/>
    <w:rsid w:val="00E91DF7"/>
    <w:rsid w:val="00E92B82"/>
    <w:rsid w:val="00E943FD"/>
    <w:rsid w:val="00E954B0"/>
    <w:rsid w:val="00EA35BE"/>
    <w:rsid w:val="00EA5CD7"/>
    <w:rsid w:val="00EA6856"/>
    <w:rsid w:val="00EB1094"/>
    <w:rsid w:val="00EB2423"/>
    <w:rsid w:val="00EB7527"/>
    <w:rsid w:val="00ED4A7D"/>
    <w:rsid w:val="00EE4EFB"/>
    <w:rsid w:val="00EF0695"/>
    <w:rsid w:val="00EF15BF"/>
    <w:rsid w:val="00F017D8"/>
    <w:rsid w:val="00F01B06"/>
    <w:rsid w:val="00F01C5F"/>
    <w:rsid w:val="00F02EA1"/>
    <w:rsid w:val="00F045AF"/>
    <w:rsid w:val="00F10425"/>
    <w:rsid w:val="00F10548"/>
    <w:rsid w:val="00F12AE7"/>
    <w:rsid w:val="00F1670A"/>
    <w:rsid w:val="00F20B9A"/>
    <w:rsid w:val="00F25DB0"/>
    <w:rsid w:val="00F3129F"/>
    <w:rsid w:val="00F37BDB"/>
    <w:rsid w:val="00F44D12"/>
    <w:rsid w:val="00F4649B"/>
    <w:rsid w:val="00F5110A"/>
    <w:rsid w:val="00F60BC6"/>
    <w:rsid w:val="00F60F9D"/>
    <w:rsid w:val="00F61638"/>
    <w:rsid w:val="00F633E8"/>
    <w:rsid w:val="00F66965"/>
    <w:rsid w:val="00F77B7F"/>
    <w:rsid w:val="00F82204"/>
    <w:rsid w:val="00F8296D"/>
    <w:rsid w:val="00F83A86"/>
    <w:rsid w:val="00FA3BD9"/>
    <w:rsid w:val="00FA4F61"/>
    <w:rsid w:val="00FB2A4E"/>
    <w:rsid w:val="00FB6D48"/>
    <w:rsid w:val="00FC239B"/>
    <w:rsid w:val="00FC53FF"/>
    <w:rsid w:val="00FC63A6"/>
    <w:rsid w:val="00FD1D37"/>
    <w:rsid w:val="00FD23E0"/>
    <w:rsid w:val="00FD39AA"/>
    <w:rsid w:val="00FD4EC2"/>
    <w:rsid w:val="00FD6CAB"/>
    <w:rsid w:val="00FE5E1A"/>
    <w:rsid w:val="00FE72D2"/>
    <w:rsid w:val="00FF461D"/>
    <w:rsid w:val="00FF6922"/>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54299"/>
  <w15:docId w15:val="{5276A532-D019-497E-B561-9A335AE9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7779"/>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3F7779"/>
    <w:pPr>
      <w:keepNext/>
      <w:jc w:val="center"/>
      <w:outlineLvl w:val="0"/>
    </w:pPr>
    <w:rPr>
      <w:b/>
      <w:bCs/>
      <w:sz w:val="2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Char,Diagrama,Char Diagrama Diagrama,Diagrama Diagrama Diagrama"/>
    <w:basedOn w:val="prastasis"/>
    <w:link w:val="AntratsDiagrama"/>
    <w:uiPriority w:val="99"/>
    <w:rsid w:val="003F7779"/>
    <w:pPr>
      <w:tabs>
        <w:tab w:val="center" w:pos="4153"/>
        <w:tab w:val="right" w:pos="8306"/>
      </w:tabs>
    </w:pPr>
  </w:style>
  <w:style w:type="character" w:customStyle="1" w:styleId="AntratsDiagrama">
    <w:name w:val="Antraštės Diagrama"/>
    <w:aliases w:val=" Char Diagrama,Char Diagrama,Diagrama Diagrama,Char Diagrama Diagrama Diagrama,Diagrama Diagrama Diagrama Diagrama"/>
    <w:basedOn w:val="Numatytasispastraiposriftas"/>
    <w:link w:val="Antrats"/>
    <w:uiPriority w:val="99"/>
    <w:qFormat/>
    <w:rsid w:val="003F7779"/>
    <w:rPr>
      <w:rFonts w:ascii="Times New Roman" w:eastAsia="Times New Roman" w:hAnsi="Times New Roman" w:cs="Times New Roman"/>
      <w:sz w:val="24"/>
      <w:szCs w:val="20"/>
      <w:lang w:val="lt-LT"/>
    </w:rPr>
  </w:style>
  <w:style w:type="paragraph" w:styleId="Antrat">
    <w:name w:val="caption"/>
    <w:basedOn w:val="prastasis"/>
    <w:next w:val="prastasis"/>
    <w:qFormat/>
    <w:rsid w:val="003F7779"/>
    <w:pPr>
      <w:jc w:val="center"/>
    </w:pPr>
    <w:rPr>
      <w:b/>
      <w:sz w:val="28"/>
    </w:rPr>
  </w:style>
  <w:style w:type="character" w:styleId="Puslapionumeris">
    <w:name w:val="page number"/>
    <w:basedOn w:val="Numatytasispastraiposriftas"/>
    <w:rsid w:val="003F7779"/>
  </w:style>
  <w:style w:type="character" w:styleId="Hipersaitas">
    <w:name w:val="Hyperlink"/>
    <w:basedOn w:val="Numatytasispastraiposriftas"/>
    <w:uiPriority w:val="99"/>
    <w:rsid w:val="003F7779"/>
    <w:rPr>
      <w:color w:val="0000FF"/>
      <w:u w:val="single"/>
    </w:rPr>
  </w:style>
  <w:style w:type="paragraph" w:styleId="Porat">
    <w:name w:val="footer"/>
    <w:basedOn w:val="prastasis"/>
    <w:link w:val="PoratDiagrama"/>
    <w:uiPriority w:val="99"/>
    <w:unhideWhenUsed/>
    <w:rsid w:val="003F7779"/>
    <w:pPr>
      <w:tabs>
        <w:tab w:val="center" w:pos="4680"/>
        <w:tab w:val="right" w:pos="9360"/>
      </w:tabs>
    </w:pPr>
  </w:style>
  <w:style w:type="character" w:customStyle="1" w:styleId="PoratDiagrama">
    <w:name w:val="Poraštė Diagrama"/>
    <w:basedOn w:val="Numatytasispastraiposriftas"/>
    <w:link w:val="Porat"/>
    <w:uiPriority w:val="99"/>
    <w:qFormat/>
    <w:rsid w:val="003F7779"/>
    <w:rPr>
      <w:rFonts w:ascii="Times New Roman" w:eastAsia="Times New Roman" w:hAnsi="Times New Roman" w:cs="Times New Roman"/>
      <w:sz w:val="24"/>
      <w:szCs w:val="20"/>
      <w:lang w:val="en-GB"/>
    </w:rPr>
  </w:style>
  <w:style w:type="table" w:styleId="Lentelstinklelis">
    <w:name w:val="Table Grid"/>
    <w:basedOn w:val="prastojilentel"/>
    <w:uiPriority w:val="59"/>
    <w:rsid w:val="003F777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F77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7779"/>
    <w:rPr>
      <w:rFonts w:ascii="Tahoma" w:eastAsia="Times New Roman" w:hAnsi="Tahoma" w:cs="Tahoma"/>
      <w:sz w:val="16"/>
      <w:szCs w:val="16"/>
      <w:lang w:val="en-GB"/>
    </w:rPr>
  </w:style>
  <w:style w:type="character" w:customStyle="1" w:styleId="Antrat1Diagrama">
    <w:name w:val="Antraštė 1 Diagrama"/>
    <w:basedOn w:val="Numatytasispastraiposriftas"/>
    <w:link w:val="Antrat1"/>
    <w:rsid w:val="003F7779"/>
    <w:rPr>
      <w:rFonts w:ascii="Times New Roman" w:eastAsia="Times New Roman" w:hAnsi="Times New Roman" w:cs="Times New Roman"/>
      <w:b/>
      <w:bCs/>
      <w:sz w:val="20"/>
      <w:szCs w:val="24"/>
    </w:rPr>
  </w:style>
  <w:style w:type="paragraph" w:styleId="Dokumentoinaostekstas">
    <w:name w:val="endnote text"/>
    <w:basedOn w:val="prastasis"/>
    <w:link w:val="DokumentoinaostekstasDiagrama"/>
    <w:uiPriority w:val="99"/>
    <w:semiHidden/>
    <w:unhideWhenUsed/>
    <w:rsid w:val="00606A3B"/>
    <w:rPr>
      <w:sz w:val="20"/>
    </w:rPr>
  </w:style>
  <w:style w:type="character" w:customStyle="1" w:styleId="DokumentoinaostekstasDiagrama">
    <w:name w:val="Dokumento išnašos tekstas Diagrama"/>
    <w:basedOn w:val="Numatytasispastraiposriftas"/>
    <w:link w:val="Dokumentoinaostekstas"/>
    <w:uiPriority w:val="99"/>
    <w:semiHidden/>
    <w:rsid w:val="00606A3B"/>
    <w:rPr>
      <w:rFonts w:ascii="Times New Roman" w:eastAsia="Times New Roman" w:hAnsi="Times New Roman" w:cs="Times New Roman"/>
      <w:sz w:val="20"/>
      <w:szCs w:val="20"/>
      <w:lang w:val="en-GB"/>
    </w:rPr>
  </w:style>
  <w:style w:type="character" w:styleId="Dokumentoinaosnumeris">
    <w:name w:val="endnote reference"/>
    <w:basedOn w:val="Numatytasispastraiposriftas"/>
    <w:uiPriority w:val="99"/>
    <w:semiHidden/>
    <w:unhideWhenUsed/>
    <w:rsid w:val="00606A3B"/>
    <w:rPr>
      <w:vertAlign w:val="superscript"/>
    </w:rPr>
  </w:style>
  <w:style w:type="character" w:styleId="Komentaronuoroda">
    <w:name w:val="annotation reference"/>
    <w:basedOn w:val="Numatytasispastraiposriftas"/>
    <w:uiPriority w:val="99"/>
    <w:semiHidden/>
    <w:unhideWhenUsed/>
    <w:rsid w:val="0059208E"/>
    <w:rPr>
      <w:sz w:val="16"/>
      <w:szCs w:val="16"/>
    </w:rPr>
  </w:style>
  <w:style w:type="paragraph" w:styleId="Komentarotekstas">
    <w:name w:val="annotation text"/>
    <w:basedOn w:val="prastasis"/>
    <w:link w:val="KomentarotekstasDiagrama"/>
    <w:uiPriority w:val="99"/>
    <w:semiHidden/>
    <w:unhideWhenUsed/>
    <w:rsid w:val="0059208E"/>
    <w:rPr>
      <w:sz w:val="20"/>
    </w:rPr>
  </w:style>
  <w:style w:type="character" w:customStyle="1" w:styleId="KomentarotekstasDiagrama">
    <w:name w:val="Komentaro tekstas Diagrama"/>
    <w:basedOn w:val="Numatytasispastraiposriftas"/>
    <w:link w:val="Komentarotekstas"/>
    <w:uiPriority w:val="99"/>
    <w:semiHidden/>
    <w:rsid w:val="005920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9208E"/>
    <w:rPr>
      <w:b/>
      <w:bCs/>
    </w:rPr>
  </w:style>
  <w:style w:type="character" w:customStyle="1" w:styleId="KomentarotemaDiagrama">
    <w:name w:val="Komentaro tema Diagrama"/>
    <w:basedOn w:val="KomentarotekstasDiagrama"/>
    <w:link w:val="Komentarotema"/>
    <w:uiPriority w:val="99"/>
    <w:semiHidden/>
    <w:rsid w:val="0059208E"/>
    <w:rPr>
      <w:rFonts w:ascii="Times New Roman" w:eastAsia="Times New Roman" w:hAnsi="Times New Roman" w:cs="Times New Roman"/>
      <w:b/>
      <w:bCs/>
      <w:sz w:val="20"/>
      <w:szCs w:val="20"/>
      <w:lang w:val="en-GB"/>
    </w:rPr>
  </w:style>
  <w:style w:type="paragraph" w:styleId="Sraopastraipa">
    <w:name w:val="List Paragraph"/>
    <w:aliases w:val="List not in Table,Buletai,Bullet EY,List Paragraph21,List Paragraph1,List Paragraph2,lp1,Bullet 1,Use Case List Paragraph,Numbering,ERP-List Paragraph,List Paragraph11,List Paragraph111,List Paragraph Red"/>
    <w:basedOn w:val="prastasis"/>
    <w:link w:val="SraopastraipaDiagrama"/>
    <w:uiPriority w:val="34"/>
    <w:qFormat/>
    <w:rsid w:val="005B3660"/>
    <w:pPr>
      <w:ind w:left="720"/>
      <w:contextualSpacing/>
    </w:pPr>
    <w:rPr>
      <w:sz w:val="20"/>
    </w:r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link w:val="Sraopastraipa"/>
    <w:uiPriority w:val="34"/>
    <w:locked/>
    <w:rsid w:val="005B3660"/>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49105">
      <w:bodyDiv w:val="1"/>
      <w:marLeft w:val="0"/>
      <w:marRight w:val="0"/>
      <w:marTop w:val="0"/>
      <w:marBottom w:val="0"/>
      <w:divBdr>
        <w:top w:val="none" w:sz="0" w:space="0" w:color="auto"/>
        <w:left w:val="none" w:sz="0" w:space="0" w:color="auto"/>
        <w:bottom w:val="none" w:sz="0" w:space="0" w:color="auto"/>
        <w:right w:val="none" w:sz="0" w:space="0" w:color="auto"/>
      </w:divBdr>
    </w:div>
    <w:div w:id="328018902">
      <w:bodyDiv w:val="1"/>
      <w:marLeft w:val="0"/>
      <w:marRight w:val="0"/>
      <w:marTop w:val="0"/>
      <w:marBottom w:val="0"/>
      <w:divBdr>
        <w:top w:val="none" w:sz="0" w:space="0" w:color="auto"/>
        <w:left w:val="none" w:sz="0" w:space="0" w:color="auto"/>
        <w:bottom w:val="none" w:sz="0" w:space="0" w:color="auto"/>
        <w:right w:val="none" w:sz="0" w:space="0" w:color="auto"/>
      </w:divBdr>
    </w:div>
    <w:div w:id="357781928">
      <w:bodyDiv w:val="1"/>
      <w:marLeft w:val="0"/>
      <w:marRight w:val="0"/>
      <w:marTop w:val="0"/>
      <w:marBottom w:val="0"/>
      <w:divBdr>
        <w:top w:val="none" w:sz="0" w:space="0" w:color="auto"/>
        <w:left w:val="none" w:sz="0" w:space="0" w:color="auto"/>
        <w:bottom w:val="none" w:sz="0" w:space="0" w:color="auto"/>
        <w:right w:val="none" w:sz="0" w:space="0" w:color="auto"/>
      </w:divBdr>
    </w:div>
    <w:div w:id="393941239">
      <w:bodyDiv w:val="1"/>
      <w:marLeft w:val="0"/>
      <w:marRight w:val="0"/>
      <w:marTop w:val="0"/>
      <w:marBottom w:val="0"/>
      <w:divBdr>
        <w:top w:val="none" w:sz="0" w:space="0" w:color="auto"/>
        <w:left w:val="none" w:sz="0" w:space="0" w:color="auto"/>
        <w:bottom w:val="none" w:sz="0" w:space="0" w:color="auto"/>
        <w:right w:val="none" w:sz="0" w:space="0" w:color="auto"/>
      </w:divBdr>
    </w:div>
    <w:div w:id="430129518">
      <w:bodyDiv w:val="1"/>
      <w:marLeft w:val="0"/>
      <w:marRight w:val="0"/>
      <w:marTop w:val="0"/>
      <w:marBottom w:val="0"/>
      <w:divBdr>
        <w:top w:val="none" w:sz="0" w:space="0" w:color="auto"/>
        <w:left w:val="none" w:sz="0" w:space="0" w:color="auto"/>
        <w:bottom w:val="none" w:sz="0" w:space="0" w:color="auto"/>
        <w:right w:val="none" w:sz="0" w:space="0" w:color="auto"/>
      </w:divBdr>
    </w:div>
    <w:div w:id="494956537">
      <w:bodyDiv w:val="1"/>
      <w:marLeft w:val="0"/>
      <w:marRight w:val="0"/>
      <w:marTop w:val="0"/>
      <w:marBottom w:val="0"/>
      <w:divBdr>
        <w:top w:val="none" w:sz="0" w:space="0" w:color="auto"/>
        <w:left w:val="none" w:sz="0" w:space="0" w:color="auto"/>
        <w:bottom w:val="none" w:sz="0" w:space="0" w:color="auto"/>
        <w:right w:val="none" w:sz="0" w:space="0" w:color="auto"/>
      </w:divBdr>
    </w:div>
    <w:div w:id="535310038">
      <w:bodyDiv w:val="1"/>
      <w:marLeft w:val="0"/>
      <w:marRight w:val="0"/>
      <w:marTop w:val="0"/>
      <w:marBottom w:val="0"/>
      <w:divBdr>
        <w:top w:val="none" w:sz="0" w:space="0" w:color="auto"/>
        <w:left w:val="none" w:sz="0" w:space="0" w:color="auto"/>
        <w:bottom w:val="none" w:sz="0" w:space="0" w:color="auto"/>
        <w:right w:val="none" w:sz="0" w:space="0" w:color="auto"/>
      </w:divBdr>
    </w:div>
    <w:div w:id="539317710">
      <w:bodyDiv w:val="1"/>
      <w:marLeft w:val="0"/>
      <w:marRight w:val="0"/>
      <w:marTop w:val="0"/>
      <w:marBottom w:val="0"/>
      <w:divBdr>
        <w:top w:val="none" w:sz="0" w:space="0" w:color="auto"/>
        <w:left w:val="none" w:sz="0" w:space="0" w:color="auto"/>
        <w:bottom w:val="none" w:sz="0" w:space="0" w:color="auto"/>
        <w:right w:val="none" w:sz="0" w:space="0" w:color="auto"/>
      </w:divBdr>
    </w:div>
    <w:div w:id="722798211">
      <w:bodyDiv w:val="1"/>
      <w:marLeft w:val="0"/>
      <w:marRight w:val="0"/>
      <w:marTop w:val="0"/>
      <w:marBottom w:val="0"/>
      <w:divBdr>
        <w:top w:val="none" w:sz="0" w:space="0" w:color="auto"/>
        <w:left w:val="none" w:sz="0" w:space="0" w:color="auto"/>
        <w:bottom w:val="none" w:sz="0" w:space="0" w:color="auto"/>
        <w:right w:val="none" w:sz="0" w:space="0" w:color="auto"/>
      </w:divBdr>
    </w:div>
    <w:div w:id="1087993897">
      <w:bodyDiv w:val="1"/>
      <w:marLeft w:val="0"/>
      <w:marRight w:val="0"/>
      <w:marTop w:val="0"/>
      <w:marBottom w:val="0"/>
      <w:divBdr>
        <w:top w:val="none" w:sz="0" w:space="0" w:color="auto"/>
        <w:left w:val="none" w:sz="0" w:space="0" w:color="auto"/>
        <w:bottom w:val="none" w:sz="0" w:space="0" w:color="auto"/>
        <w:right w:val="none" w:sz="0" w:space="0" w:color="auto"/>
      </w:divBdr>
    </w:div>
    <w:div w:id="1281842409">
      <w:bodyDiv w:val="1"/>
      <w:marLeft w:val="0"/>
      <w:marRight w:val="0"/>
      <w:marTop w:val="0"/>
      <w:marBottom w:val="0"/>
      <w:divBdr>
        <w:top w:val="none" w:sz="0" w:space="0" w:color="auto"/>
        <w:left w:val="none" w:sz="0" w:space="0" w:color="auto"/>
        <w:bottom w:val="none" w:sz="0" w:space="0" w:color="auto"/>
        <w:right w:val="none" w:sz="0" w:space="0" w:color="auto"/>
      </w:divBdr>
    </w:div>
    <w:div w:id="1575747721">
      <w:bodyDiv w:val="1"/>
      <w:marLeft w:val="0"/>
      <w:marRight w:val="0"/>
      <w:marTop w:val="0"/>
      <w:marBottom w:val="0"/>
      <w:divBdr>
        <w:top w:val="none" w:sz="0" w:space="0" w:color="auto"/>
        <w:left w:val="none" w:sz="0" w:space="0" w:color="auto"/>
        <w:bottom w:val="none" w:sz="0" w:space="0" w:color="auto"/>
        <w:right w:val="none" w:sz="0" w:space="0" w:color="auto"/>
      </w:divBdr>
    </w:div>
    <w:div w:id="177236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stat.gov.lt/statistiniu-rodikliu-analize?indicator=S7R27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rd@vrm.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B2B94-848F-42F8-A038-FF32ACEFC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2622</Words>
  <Characters>1496</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vrm</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VTIIS</dc:creator>
  <cp:lastModifiedBy>Živilė Šakalienė</cp:lastModifiedBy>
  <cp:revision>2</cp:revision>
  <cp:lastPrinted>2019-09-09T13:50:00Z</cp:lastPrinted>
  <dcterms:created xsi:type="dcterms:W3CDTF">2023-05-11T13:06:00Z</dcterms:created>
  <dcterms:modified xsi:type="dcterms:W3CDTF">2023-05-11T13:06:00Z</dcterms:modified>
</cp:coreProperties>
</file>