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281BA" w14:textId="77777777" w:rsidR="00733ACE" w:rsidRPr="009F7999" w:rsidRDefault="00733ACE" w:rsidP="00733AC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4770"/>
        <w:gridCol w:w="5192"/>
      </w:tblGrid>
      <w:tr w:rsidR="00733ACE" w:rsidRPr="009F7999" w14:paraId="262ABA85" w14:textId="77777777" w:rsidTr="008B0D44">
        <w:trPr>
          <w:trHeight w:val="845"/>
        </w:trPr>
        <w:tc>
          <w:tcPr>
            <w:tcW w:w="5000" w:type="pct"/>
            <w:gridSpan w:val="2"/>
          </w:tcPr>
          <w:p w14:paraId="17E7B1B0" w14:textId="7463FFEA" w:rsidR="00733ACE" w:rsidRPr="009F7999" w:rsidRDefault="00733ACE" w:rsidP="008B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ТECHNINĖS PRIEŽIŪROS PASLAUGŲ SUTARTIS Nr. </w:t>
            </w:r>
            <w:r w:rsidR="00B02301">
              <w:rPr>
                <w:rFonts w:asciiTheme="minorHAnsi" w:hAnsiTheme="minorHAnsi" w:cstheme="minorHAnsi"/>
                <w:b/>
                <w:sz w:val="22"/>
                <w:szCs w:val="22"/>
              </w:rPr>
              <w:t>SUT(DI)-293</w:t>
            </w:r>
          </w:p>
          <w:p w14:paraId="2E985CBE" w14:textId="7F61F71A" w:rsidR="00733ACE" w:rsidRPr="009F7999" w:rsidRDefault="00733ACE" w:rsidP="008B0D4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ermStart w:id="2030271062" w:edGrp="everyone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2019-06-2</w:t>
            </w:r>
            <w:r w:rsidR="004D66D0">
              <w:rPr>
                <w:rFonts w:asciiTheme="minorHAnsi" w:hAnsiTheme="minorHAnsi" w:cstheme="minorHAnsi"/>
                <w:i/>
                <w:sz w:val="22"/>
                <w:szCs w:val="22"/>
              </w:rPr>
              <w:t>7</w:t>
            </w:r>
            <w:permEnd w:id="2030271062"/>
            <w:r w:rsidRPr="009F79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ermStart w:id="213657499" w:edGrp="everyone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Vilnius</w:t>
            </w:r>
            <w:permEnd w:id="213657499"/>
          </w:p>
        </w:tc>
      </w:tr>
      <w:tr w:rsidR="00733ACE" w:rsidRPr="009F7999" w14:paraId="183C93BD" w14:textId="77777777" w:rsidTr="008B0D44">
        <w:tc>
          <w:tcPr>
            <w:tcW w:w="5000" w:type="pct"/>
            <w:gridSpan w:val="2"/>
          </w:tcPr>
          <w:p w14:paraId="50423D75" w14:textId="77777777" w:rsidR="00733ACE" w:rsidRPr="009F7999" w:rsidRDefault="00733ACE" w:rsidP="008B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3ACE" w:rsidRPr="009F7999" w14:paraId="7DB440B8" w14:textId="77777777" w:rsidTr="008B0D44">
        <w:tc>
          <w:tcPr>
            <w:tcW w:w="5000" w:type="pct"/>
            <w:gridSpan w:val="2"/>
          </w:tcPr>
          <w:p w14:paraId="66FC7227" w14:textId="77777777" w:rsidR="00733ACE" w:rsidRPr="009F7999" w:rsidRDefault="00733ACE" w:rsidP="008B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SPECIALIOSIOS SĄLYGOS</w:t>
            </w:r>
          </w:p>
        </w:tc>
      </w:tr>
      <w:tr w:rsidR="00733ACE" w:rsidRPr="009F7999" w14:paraId="0330B2E0" w14:textId="77777777" w:rsidTr="008B0D44">
        <w:tc>
          <w:tcPr>
            <w:tcW w:w="5000" w:type="pct"/>
            <w:gridSpan w:val="2"/>
          </w:tcPr>
          <w:p w14:paraId="0723CB08" w14:textId="77777777" w:rsidR="00733ACE" w:rsidRPr="009F7999" w:rsidRDefault="00733ACE" w:rsidP="008B0D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3ACE" w:rsidRPr="009F7999" w14:paraId="18C03525" w14:textId="77777777" w:rsidTr="008B0D44">
        <w:tc>
          <w:tcPr>
            <w:tcW w:w="5000" w:type="pct"/>
            <w:gridSpan w:val="2"/>
          </w:tcPr>
          <w:p w14:paraId="7E4ADAFE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Šiose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didžiąja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raide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rašomi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terminai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apibrėžti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skelbiamų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tinklapyje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7" w:history="1">
              <w:r w:rsidRPr="009F799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http://www.litrail.lt/viesuju-Pirkimu-dokumentai</w:t>
              </w:r>
            </w:hyperlink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toliau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Bendrosios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) 1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straipsnyje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33ACE" w:rsidRPr="009F7999" w14:paraId="075FA86D" w14:textId="77777777" w:rsidTr="008B0D44">
        <w:tc>
          <w:tcPr>
            <w:tcW w:w="5000" w:type="pct"/>
            <w:gridSpan w:val="2"/>
          </w:tcPr>
          <w:p w14:paraId="20C38204" w14:textId="77777777" w:rsidR="00733ACE" w:rsidRPr="009F7999" w:rsidRDefault="00733ACE" w:rsidP="008B0D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3ACE" w:rsidRPr="009F7999" w14:paraId="04F818DF" w14:textId="77777777" w:rsidTr="008B0D44">
        <w:tc>
          <w:tcPr>
            <w:tcW w:w="5000" w:type="pct"/>
            <w:gridSpan w:val="2"/>
          </w:tcPr>
          <w:p w14:paraId="7BCD1052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Ref343530593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UŽSAKOVAS</w:t>
            </w:r>
            <w:bookmarkEnd w:id="0"/>
          </w:p>
        </w:tc>
      </w:tr>
      <w:tr w:rsidR="00733ACE" w:rsidRPr="009F7999" w14:paraId="66357A84" w14:textId="77777777" w:rsidTr="008B0D44">
        <w:tc>
          <w:tcPr>
            <w:tcW w:w="2394" w:type="pct"/>
          </w:tcPr>
          <w:p w14:paraId="3CDED8E3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606" w:type="pct"/>
          </w:tcPr>
          <w:p w14:paraId="4C3346F1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>Akcinė</w:t>
            </w:r>
            <w:proofErr w:type="spellEnd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>bendrovė</w:t>
            </w:r>
            <w:proofErr w:type="spellEnd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>Lietuvos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>geležinkeliai</w:t>
            </w:r>
            <w:proofErr w:type="spellEnd"/>
            <w:r w:rsidRPr="009F7999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proofErr w:type="gramEnd"/>
          </w:p>
        </w:tc>
      </w:tr>
      <w:tr w:rsidR="00733ACE" w:rsidRPr="009F7999" w14:paraId="6FEAAFBB" w14:textId="77777777" w:rsidTr="008B0D44">
        <w:tc>
          <w:tcPr>
            <w:tcW w:w="2394" w:type="pct"/>
          </w:tcPr>
          <w:p w14:paraId="2CAA1A88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2606" w:type="pct"/>
          </w:tcPr>
          <w:p w14:paraId="14C8A18F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Mindaugo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g. 12, LT-03603 Vilnius,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Lietuva</w:t>
            </w:r>
            <w:proofErr w:type="spellEnd"/>
          </w:p>
        </w:tc>
      </w:tr>
      <w:tr w:rsidR="00733ACE" w:rsidRPr="009F7999" w14:paraId="7B3DBA6F" w14:textId="77777777" w:rsidTr="008B0D44">
        <w:tc>
          <w:tcPr>
            <w:tcW w:w="2394" w:type="pct"/>
          </w:tcPr>
          <w:p w14:paraId="19648F66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Juridinio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asmens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41DDF646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110053842</w:t>
            </w:r>
          </w:p>
        </w:tc>
      </w:tr>
      <w:tr w:rsidR="00733ACE" w:rsidRPr="009F7999" w14:paraId="7B732BCE" w14:textId="77777777" w:rsidTr="008B0D44">
        <w:tc>
          <w:tcPr>
            <w:tcW w:w="2394" w:type="pct"/>
          </w:tcPr>
          <w:p w14:paraId="0A2640D2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PVM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mokėtojo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78915B94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LT100538411</w:t>
            </w:r>
          </w:p>
        </w:tc>
      </w:tr>
      <w:tr w:rsidR="00733ACE" w:rsidRPr="009F7999" w14:paraId="10C321AA" w14:textId="77777777" w:rsidTr="008B0D44">
        <w:tc>
          <w:tcPr>
            <w:tcW w:w="2394" w:type="pct"/>
          </w:tcPr>
          <w:p w14:paraId="0C648589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Ref293569183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Atsiskaitomoji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sąskaita</w:t>
            </w:r>
            <w:bookmarkEnd w:id="1"/>
            <w:proofErr w:type="spellEnd"/>
          </w:p>
        </w:tc>
        <w:tc>
          <w:tcPr>
            <w:tcW w:w="2606" w:type="pct"/>
          </w:tcPr>
          <w:p w14:paraId="07638A73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Nr. LT68 7044 0600 0029 4239</w:t>
            </w:r>
          </w:p>
        </w:tc>
      </w:tr>
      <w:tr w:rsidR="00733ACE" w:rsidRPr="009F7999" w14:paraId="2652F647" w14:textId="77777777" w:rsidTr="008B0D44">
        <w:tc>
          <w:tcPr>
            <w:tcW w:w="2394" w:type="pct"/>
          </w:tcPr>
          <w:p w14:paraId="28EF3FF7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7D75ABF6" w14:textId="77777777" w:rsidR="00733ACE" w:rsidRPr="009F7999" w:rsidRDefault="00733ACE" w:rsidP="008B0D44">
            <w:pPr>
              <w:autoSpaceDE w:val="0"/>
              <w:autoSpaceDN w:val="0"/>
              <w:adjustRightInd w:val="0"/>
              <w:ind w:left="1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AB SEB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Gedimino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pr. 12, LT-01103 Vilnius,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Lietuva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70440</w:t>
            </w:r>
          </w:p>
        </w:tc>
      </w:tr>
      <w:tr w:rsidR="00733ACE" w:rsidRPr="009F7999" w14:paraId="48B0534F" w14:textId="77777777" w:rsidTr="008B0D44">
        <w:tc>
          <w:tcPr>
            <w:tcW w:w="2394" w:type="pct"/>
          </w:tcPr>
          <w:p w14:paraId="57BEC9A6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Ref294603540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Telefonas</w:t>
            </w:r>
            <w:bookmarkEnd w:id="2"/>
            <w:proofErr w:type="spellEnd"/>
          </w:p>
        </w:tc>
        <w:tc>
          <w:tcPr>
            <w:tcW w:w="2606" w:type="pct"/>
          </w:tcPr>
          <w:p w14:paraId="4D4AC690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+370 5 269 20 38</w:t>
            </w:r>
          </w:p>
        </w:tc>
      </w:tr>
      <w:tr w:rsidR="00733ACE" w:rsidRPr="009F7999" w14:paraId="4C95886F" w14:textId="77777777" w:rsidTr="008B0D44">
        <w:tc>
          <w:tcPr>
            <w:tcW w:w="2394" w:type="pct"/>
          </w:tcPr>
          <w:p w14:paraId="2F78E51A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Faksas</w:t>
            </w:r>
            <w:proofErr w:type="spellEnd"/>
          </w:p>
        </w:tc>
        <w:tc>
          <w:tcPr>
            <w:tcW w:w="2606" w:type="pct"/>
          </w:tcPr>
          <w:p w14:paraId="4BF9E365" w14:textId="77777777" w:rsidR="00733ACE" w:rsidRPr="009F7999" w:rsidRDefault="00733ACE" w:rsidP="008B0D44">
            <w:pPr>
              <w:ind w:left="1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+370 5 269 21 28</w:t>
            </w:r>
          </w:p>
        </w:tc>
      </w:tr>
      <w:tr w:rsidR="00733ACE" w:rsidRPr="009F7999" w14:paraId="489E25D4" w14:textId="77777777" w:rsidTr="008B0D44">
        <w:tc>
          <w:tcPr>
            <w:tcW w:w="2394" w:type="pct"/>
          </w:tcPr>
          <w:p w14:paraId="1F9FF600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El.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2606" w:type="pct"/>
          </w:tcPr>
          <w:p w14:paraId="56AD1226" w14:textId="77777777" w:rsidR="00733ACE" w:rsidRPr="009F7999" w:rsidRDefault="006F692B" w:rsidP="008B0D44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733ACE" w:rsidRPr="009F799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info@litrail.lt</w:t>
              </w:r>
            </w:hyperlink>
          </w:p>
        </w:tc>
      </w:tr>
      <w:tr w:rsidR="00733ACE" w:rsidRPr="009F7999" w14:paraId="1D8F3BB3" w14:textId="77777777" w:rsidTr="008B0D44">
        <w:tc>
          <w:tcPr>
            <w:tcW w:w="2394" w:type="pct"/>
          </w:tcPr>
          <w:p w14:paraId="761E10AD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Atstovas</w:t>
            </w:r>
            <w:proofErr w:type="spellEnd"/>
          </w:p>
        </w:tc>
        <w:tc>
          <w:tcPr>
            <w:tcW w:w="2606" w:type="pct"/>
          </w:tcPr>
          <w:p w14:paraId="7A72B4CE" w14:textId="0687BA03" w:rsidR="00733ACE" w:rsidRPr="009F7999" w:rsidRDefault="005B04C7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Geležinkelių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infrastr</w:t>
            </w:r>
            <w:r w:rsidR="00EA433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ktūros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direkcijos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BFA">
              <w:rPr>
                <w:rFonts w:asciiTheme="minorHAnsi" w:hAnsiTheme="minorHAnsi" w:cstheme="minorHAnsi"/>
                <w:sz w:val="22"/>
                <w:szCs w:val="22"/>
              </w:rPr>
              <w:t>Korporatyvinės</w:t>
            </w:r>
            <w:proofErr w:type="spellEnd"/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BFA">
              <w:rPr>
                <w:rFonts w:asciiTheme="minorHAnsi" w:hAnsiTheme="minorHAnsi" w:cstheme="minorHAnsi"/>
                <w:sz w:val="22"/>
                <w:szCs w:val="22"/>
              </w:rPr>
              <w:t>veiklos</w:t>
            </w:r>
            <w:proofErr w:type="spellEnd"/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BFA">
              <w:rPr>
                <w:rFonts w:asciiTheme="minorHAnsi" w:hAnsiTheme="minorHAnsi" w:cstheme="minorHAnsi"/>
                <w:sz w:val="22"/>
                <w:szCs w:val="22"/>
              </w:rPr>
              <w:t>departamento</w:t>
            </w:r>
            <w:proofErr w:type="spellEnd"/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BFA">
              <w:rPr>
                <w:rFonts w:asciiTheme="minorHAnsi" w:hAnsiTheme="minorHAnsi" w:cstheme="minorHAnsi"/>
                <w:sz w:val="22"/>
                <w:szCs w:val="22"/>
              </w:rPr>
              <w:t>direktorė</w:t>
            </w:r>
            <w:proofErr w:type="spellEnd"/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D77FA">
              <w:rPr>
                <w:rFonts w:asciiTheme="minorHAnsi" w:hAnsiTheme="minorHAnsi" w:cstheme="minorHAnsi"/>
                <w:sz w:val="22"/>
                <w:szCs w:val="22"/>
              </w:rPr>
              <w:t>Vitalija</w:t>
            </w:r>
            <w:proofErr w:type="spellEnd"/>
            <w:r w:rsidR="008D77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D77FA">
              <w:rPr>
                <w:rFonts w:asciiTheme="minorHAnsi" w:hAnsiTheme="minorHAnsi" w:cstheme="minorHAnsi"/>
                <w:sz w:val="22"/>
                <w:szCs w:val="22"/>
              </w:rPr>
              <w:t>Uzialaitė</w:t>
            </w:r>
            <w:proofErr w:type="spellEnd"/>
          </w:p>
        </w:tc>
      </w:tr>
      <w:tr w:rsidR="00733ACE" w:rsidRPr="009F7999" w14:paraId="3AA710D1" w14:textId="77777777" w:rsidTr="008B0D44">
        <w:tc>
          <w:tcPr>
            <w:tcW w:w="2394" w:type="pct"/>
          </w:tcPr>
          <w:p w14:paraId="1AF1F50E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Atstovavimo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pagrindas</w:t>
            </w:r>
            <w:proofErr w:type="spellEnd"/>
          </w:p>
        </w:tc>
        <w:tc>
          <w:tcPr>
            <w:tcW w:w="2606" w:type="pct"/>
          </w:tcPr>
          <w:p w14:paraId="4F52E84F" w14:textId="4180556E" w:rsidR="00733ACE" w:rsidRPr="009F7999" w:rsidRDefault="008D77FA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BFA">
              <w:rPr>
                <w:rFonts w:asciiTheme="minorHAnsi" w:hAnsiTheme="minorHAnsi" w:cstheme="minorHAnsi"/>
                <w:sz w:val="22"/>
                <w:szCs w:val="22"/>
              </w:rPr>
              <w:t>sausio</w:t>
            </w:r>
            <w:proofErr w:type="spellEnd"/>
            <w:r w:rsidR="000D4BFA">
              <w:rPr>
                <w:rFonts w:asciiTheme="minorHAnsi" w:hAnsiTheme="minorHAnsi" w:cstheme="minorHAnsi"/>
                <w:sz w:val="22"/>
                <w:szCs w:val="22"/>
              </w:rPr>
              <w:t xml:space="preserve"> 2 d.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Įgaliojimas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Nr. ĮG(DI)-1</w:t>
            </w:r>
          </w:p>
        </w:tc>
      </w:tr>
      <w:tr w:rsidR="00733ACE" w:rsidRPr="009F7999" w14:paraId="5A7F97CD" w14:textId="77777777" w:rsidTr="008B0D44">
        <w:tc>
          <w:tcPr>
            <w:tcW w:w="5000" w:type="pct"/>
            <w:gridSpan w:val="2"/>
          </w:tcPr>
          <w:p w14:paraId="363CEDE7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5A7550EA" w14:textId="77777777" w:rsidTr="008B0D44">
        <w:tc>
          <w:tcPr>
            <w:tcW w:w="5000" w:type="pct"/>
            <w:gridSpan w:val="2"/>
          </w:tcPr>
          <w:p w14:paraId="6BEF67FD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PASLAUGOS TEIKĖJAS</w:t>
            </w:r>
          </w:p>
        </w:tc>
      </w:tr>
      <w:tr w:rsidR="00733ACE" w:rsidRPr="009F7999" w14:paraId="7D726BB3" w14:textId="77777777" w:rsidTr="008B0D44">
        <w:tc>
          <w:tcPr>
            <w:tcW w:w="2394" w:type="pct"/>
          </w:tcPr>
          <w:p w14:paraId="61AE1286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606" w:type="pct"/>
          </w:tcPr>
          <w:p w14:paraId="6E097FA2" w14:textId="01C675A3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permStart w:id="447577480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UAB “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Statybų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techninė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priežiūra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permEnd w:id="447577480"/>
          </w:p>
        </w:tc>
      </w:tr>
      <w:tr w:rsidR="00733ACE" w:rsidRPr="009F7999" w14:paraId="74A66C18" w14:textId="77777777" w:rsidTr="008B0D44">
        <w:tc>
          <w:tcPr>
            <w:tcW w:w="2394" w:type="pct"/>
          </w:tcPr>
          <w:p w14:paraId="299AA9FD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2606" w:type="pct"/>
          </w:tcPr>
          <w:p w14:paraId="2D782168" w14:textId="1C17A89E" w:rsidR="00733ACE" w:rsidRPr="009F7999" w:rsidRDefault="00733ACE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1616776681" w:edGrp="everyone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Žukausko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g. 49-88, LT-09131 Vilnius</w:t>
            </w: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ermEnd w:id="1616776681"/>
          </w:p>
        </w:tc>
      </w:tr>
      <w:tr w:rsidR="00733ACE" w:rsidRPr="009F7999" w14:paraId="06434129" w14:textId="77777777" w:rsidTr="008B0D44">
        <w:tc>
          <w:tcPr>
            <w:tcW w:w="2394" w:type="pct"/>
          </w:tcPr>
          <w:p w14:paraId="2F8DC257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Juridinio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asmens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6C65538D" w14:textId="7E959727" w:rsidR="00733ACE" w:rsidRPr="009F7999" w:rsidRDefault="00733ACE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1606758605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300026489</w:t>
            </w:r>
            <w:permEnd w:id="1606758605"/>
          </w:p>
        </w:tc>
      </w:tr>
      <w:tr w:rsidR="00733ACE" w:rsidRPr="009F7999" w14:paraId="708C3DD7" w14:textId="77777777" w:rsidTr="008B0D44">
        <w:tc>
          <w:tcPr>
            <w:tcW w:w="2394" w:type="pct"/>
          </w:tcPr>
          <w:p w14:paraId="5D277BF6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PVM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mokėtojo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4ECB83CD" w14:textId="7B8D0395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1838694890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LT100001415012</w:t>
            </w:r>
            <w:permEnd w:id="1838694890"/>
          </w:p>
        </w:tc>
      </w:tr>
      <w:tr w:rsidR="00733ACE" w:rsidRPr="009F7999" w14:paraId="5DCE61B8" w14:textId="77777777" w:rsidTr="008B0D44">
        <w:tc>
          <w:tcPr>
            <w:tcW w:w="2394" w:type="pct"/>
          </w:tcPr>
          <w:p w14:paraId="4F2D504C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2606" w:type="pct"/>
          </w:tcPr>
          <w:p w14:paraId="186E62BB" w14:textId="3A201331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1309096585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LT777044060004170100</w:t>
            </w:r>
            <w:permEnd w:id="1309096585"/>
          </w:p>
        </w:tc>
      </w:tr>
      <w:tr w:rsidR="00733ACE" w:rsidRPr="009F7999" w14:paraId="7DD9BB60" w14:textId="77777777" w:rsidTr="008B0D44">
        <w:tc>
          <w:tcPr>
            <w:tcW w:w="2394" w:type="pct"/>
          </w:tcPr>
          <w:p w14:paraId="5187BC1D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banko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606" w:type="pct"/>
          </w:tcPr>
          <w:p w14:paraId="5F48906E" w14:textId="4BD4B492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882390904" w:edGrp="everyone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SEB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bankas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7004</w:t>
            </w:r>
            <w:permEnd w:id="882390904"/>
          </w:p>
        </w:tc>
      </w:tr>
      <w:tr w:rsidR="00733ACE" w:rsidRPr="009F7999" w14:paraId="4ECC9ABE" w14:textId="77777777" w:rsidTr="008B0D44">
        <w:tc>
          <w:tcPr>
            <w:tcW w:w="2394" w:type="pct"/>
          </w:tcPr>
          <w:p w14:paraId="24F655E7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Ref294603514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Telefonas</w:t>
            </w:r>
            <w:bookmarkEnd w:id="3"/>
            <w:proofErr w:type="spellEnd"/>
          </w:p>
        </w:tc>
        <w:tc>
          <w:tcPr>
            <w:tcW w:w="2606" w:type="pct"/>
          </w:tcPr>
          <w:p w14:paraId="194A347F" w14:textId="6BCF6197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1023242051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(85) 2741461</w:t>
            </w:r>
            <w:permEnd w:id="1023242051"/>
          </w:p>
        </w:tc>
      </w:tr>
      <w:tr w:rsidR="00733ACE" w:rsidRPr="009F7999" w14:paraId="50E5A47C" w14:textId="77777777" w:rsidTr="008B0D44">
        <w:tc>
          <w:tcPr>
            <w:tcW w:w="2394" w:type="pct"/>
          </w:tcPr>
          <w:p w14:paraId="1A59441E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Faksas</w:t>
            </w:r>
            <w:proofErr w:type="spellEnd"/>
          </w:p>
        </w:tc>
        <w:tc>
          <w:tcPr>
            <w:tcW w:w="2606" w:type="pct"/>
          </w:tcPr>
          <w:p w14:paraId="6D96E53F" w14:textId="0DDFBE71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300054909" w:edGrp="everyone"/>
            <w:r>
              <w:rPr>
                <w:rFonts w:asciiTheme="minorHAnsi" w:hAnsiTheme="minorHAnsi" w:cstheme="minorHAnsi"/>
                <w:sz w:val="22"/>
                <w:szCs w:val="22"/>
              </w:rPr>
              <w:t>(85) 2741462</w:t>
            </w:r>
            <w:permEnd w:id="300054909"/>
          </w:p>
        </w:tc>
      </w:tr>
      <w:tr w:rsidR="00733ACE" w:rsidRPr="009F7999" w14:paraId="5610CE6D" w14:textId="77777777" w:rsidTr="008B0D44">
        <w:tc>
          <w:tcPr>
            <w:tcW w:w="2394" w:type="pct"/>
          </w:tcPr>
          <w:p w14:paraId="14E419F7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El.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paštas</w:t>
            </w:r>
            <w:proofErr w:type="spellEnd"/>
          </w:p>
        </w:tc>
        <w:permStart w:id="689589310" w:edGrp="everyone"/>
        <w:tc>
          <w:tcPr>
            <w:tcW w:w="2606" w:type="pct"/>
          </w:tcPr>
          <w:p w14:paraId="0DC4E84F" w14:textId="0F3F67CD" w:rsidR="00733ACE" w:rsidRPr="009F7999" w:rsidRDefault="0018504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"mailto:stp@statybuprieziura.lt"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73D59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stp@statybuprieziura.lt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689589310"/>
          </w:p>
        </w:tc>
      </w:tr>
      <w:tr w:rsidR="00733ACE" w:rsidRPr="009F7999" w14:paraId="5AE3D457" w14:textId="77777777" w:rsidTr="008B0D44">
        <w:tc>
          <w:tcPr>
            <w:tcW w:w="2394" w:type="pct"/>
          </w:tcPr>
          <w:p w14:paraId="5DCC207C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Atstovas</w:t>
            </w:r>
            <w:proofErr w:type="spellEnd"/>
          </w:p>
        </w:tc>
        <w:tc>
          <w:tcPr>
            <w:tcW w:w="2606" w:type="pct"/>
          </w:tcPr>
          <w:p w14:paraId="7B071CAB" w14:textId="5B99ADC5" w:rsidR="00733ACE" w:rsidRPr="009F7999" w:rsidRDefault="000D4BFA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915673540" w:edGrp="everyone"/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Direktoriaus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B3BD3">
              <w:rPr>
                <w:rFonts w:asciiTheme="minorHAnsi" w:hAnsiTheme="minorHAnsi" w:cstheme="minorHAnsi"/>
                <w:sz w:val="22"/>
                <w:szCs w:val="22"/>
              </w:rPr>
              <w:t>Antanas</w:t>
            </w:r>
            <w:proofErr w:type="spellEnd"/>
            <w:r w:rsidR="00EB3B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B3BD3">
              <w:rPr>
                <w:rFonts w:asciiTheme="minorHAnsi" w:hAnsiTheme="minorHAnsi" w:cstheme="minorHAnsi"/>
                <w:sz w:val="22"/>
                <w:szCs w:val="22"/>
              </w:rPr>
              <w:t>Latakas</w:t>
            </w:r>
            <w:permEnd w:id="915673540"/>
            <w:proofErr w:type="spellEnd"/>
          </w:p>
        </w:tc>
      </w:tr>
      <w:tr w:rsidR="00733ACE" w:rsidRPr="009F7999" w14:paraId="1E1C6ADA" w14:textId="77777777" w:rsidTr="008B0D44">
        <w:tc>
          <w:tcPr>
            <w:tcW w:w="2394" w:type="pct"/>
          </w:tcPr>
          <w:p w14:paraId="7155F022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Atstovavimo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pagrindas</w:t>
            </w:r>
            <w:proofErr w:type="spellEnd"/>
          </w:p>
        </w:tc>
        <w:tc>
          <w:tcPr>
            <w:tcW w:w="2606" w:type="pct"/>
          </w:tcPr>
          <w:p w14:paraId="08EA4316" w14:textId="6201D645" w:rsidR="00733ACE" w:rsidRPr="009F7999" w:rsidRDefault="00EB3BD3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Įmonės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įstatai</w:t>
            </w:r>
            <w:proofErr w:type="spellEnd"/>
          </w:p>
        </w:tc>
      </w:tr>
      <w:tr w:rsidR="00733ACE" w:rsidRPr="009F7999" w14:paraId="6C438B5A" w14:textId="77777777" w:rsidTr="008B0D44">
        <w:tc>
          <w:tcPr>
            <w:tcW w:w="5000" w:type="pct"/>
            <w:gridSpan w:val="2"/>
          </w:tcPr>
          <w:p w14:paraId="433BE817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72260308" w14:textId="77777777" w:rsidTr="008B0D44">
        <w:tc>
          <w:tcPr>
            <w:tcW w:w="5000" w:type="pct"/>
            <w:gridSpan w:val="2"/>
          </w:tcPr>
          <w:p w14:paraId="7645E318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8735980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STATINIO IR RANGOS DARBŲ DUOMENYS</w:t>
            </w:r>
          </w:p>
        </w:tc>
      </w:tr>
      <w:tr w:rsidR="00733ACE" w:rsidRPr="009F7999" w14:paraId="32D14926" w14:textId="77777777" w:rsidTr="008B0D44">
        <w:tc>
          <w:tcPr>
            <w:tcW w:w="2394" w:type="pct"/>
          </w:tcPr>
          <w:p w14:paraId="374F38BA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Statinys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06" w:type="pct"/>
          </w:tcPr>
          <w:p w14:paraId="754003EB" w14:textId="77777777" w:rsidR="00733ACE" w:rsidRPr="007E1BBD" w:rsidRDefault="00733ACE" w:rsidP="008B0D44">
            <w:pPr>
              <w:ind w:left="18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</w:pP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Geležinkelio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kelias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ruože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Jonaitiškis-Tytuvėnai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nuo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15+160 </w:t>
            </w:r>
            <w:proofErr w:type="spellStart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iki</w:t>
            </w:r>
            <w:proofErr w:type="spellEnd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38+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760</w:t>
            </w:r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  <w:p w14:paraId="33E35219" w14:textId="77777777" w:rsidR="00733ACE" w:rsidRPr="007E1BBD" w:rsidRDefault="00733ACE" w:rsidP="008B0D44">
            <w:pPr>
              <w:ind w:left="180"/>
              <w:jc w:val="both"/>
              <w:rPr>
                <w:rFonts w:asciiTheme="minorHAnsi" w:hAnsiTheme="minorHAnsi" w:cstheme="minorHAnsi"/>
                <w:i/>
                <w:color w:val="000000"/>
                <w:spacing w:val="-2"/>
                <w:sz w:val="22"/>
                <w:szCs w:val="22"/>
                <w:u w:val="single"/>
              </w:rPr>
            </w:pPr>
          </w:p>
        </w:tc>
      </w:tr>
      <w:tr w:rsidR="00733ACE" w:rsidRPr="009F7999" w14:paraId="1384C476" w14:textId="77777777" w:rsidTr="008B0D44">
        <w:tc>
          <w:tcPr>
            <w:tcW w:w="2394" w:type="pct"/>
          </w:tcPr>
          <w:p w14:paraId="21EFF5E5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Ref343585405"/>
            <w:bookmarkEnd w:id="4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Žemės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sklypo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(-ų)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unikalus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(-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ūs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 Nr.</w:t>
            </w:r>
            <w:bookmarkEnd w:id="5"/>
          </w:p>
        </w:tc>
        <w:tc>
          <w:tcPr>
            <w:tcW w:w="2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929C9" w14:textId="77777777" w:rsidR="00733ACE" w:rsidRPr="007E1BBD" w:rsidRDefault="00733ACE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r w:rsidRPr="007E1BBD">
              <w:rPr>
                <w:rFonts w:asciiTheme="minorHAnsi" w:hAnsiTheme="minorHAnsi" w:cstheme="minorHAnsi"/>
                <w:sz w:val="22"/>
                <w:szCs w:val="22"/>
              </w:rPr>
              <w:t xml:space="preserve">4400-0940-1544; 4400-0979-9959; </w:t>
            </w:r>
          </w:p>
        </w:tc>
      </w:tr>
      <w:tr w:rsidR="00733ACE" w:rsidRPr="009F7999" w14:paraId="535F3C29" w14:textId="77777777" w:rsidTr="008B0D44">
        <w:tc>
          <w:tcPr>
            <w:tcW w:w="2394" w:type="pct"/>
          </w:tcPr>
          <w:p w14:paraId="67719E6F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Ref343503923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Žemės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sklypo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(-ų)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kadastro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</w:t>
            </w:r>
            <w:bookmarkEnd w:id="6"/>
          </w:p>
        </w:tc>
        <w:tc>
          <w:tcPr>
            <w:tcW w:w="2606" w:type="pct"/>
          </w:tcPr>
          <w:p w14:paraId="0CD7F1AD" w14:textId="77777777" w:rsidR="00733ACE" w:rsidRPr="007E1BBD" w:rsidRDefault="00733ACE" w:rsidP="008B0D44">
            <w:pPr>
              <w:ind w:left="167"/>
              <w:rPr>
                <w:rFonts w:asciiTheme="minorHAnsi" w:hAnsiTheme="minorHAnsi" w:cstheme="minorHAnsi"/>
                <w:sz w:val="22"/>
                <w:szCs w:val="22"/>
              </w:rPr>
            </w:pPr>
            <w:permStart w:id="433078089" w:edGrp="everyone"/>
            <w:r w:rsidRPr="007E1BBD">
              <w:rPr>
                <w:rFonts w:asciiTheme="minorHAnsi" w:hAnsiTheme="minorHAnsi" w:cstheme="minorHAnsi"/>
                <w:sz w:val="22"/>
                <w:szCs w:val="22"/>
              </w:rPr>
              <w:t>7125/8001:2; 7152/8001:1; 7101/8001:1; 5476/8001:1; 5472/8001:1; 5448/8001:324.</w:t>
            </w:r>
            <w:permEnd w:id="433078089"/>
          </w:p>
        </w:tc>
      </w:tr>
      <w:tr w:rsidR="00733ACE" w:rsidRPr="009F7999" w14:paraId="388B4785" w14:textId="77777777" w:rsidTr="008B0D44">
        <w:tc>
          <w:tcPr>
            <w:tcW w:w="2394" w:type="pct"/>
          </w:tcPr>
          <w:p w14:paraId="0793C139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Darbai</w:t>
            </w:r>
            <w:proofErr w:type="spellEnd"/>
          </w:p>
        </w:tc>
        <w:tc>
          <w:tcPr>
            <w:tcW w:w="2606" w:type="pct"/>
          </w:tcPr>
          <w:p w14:paraId="4A685065" w14:textId="77777777" w:rsidR="00733ACE" w:rsidRPr="007E1BBD" w:rsidRDefault="00733ACE" w:rsidP="008B0D44">
            <w:pPr>
              <w:ind w:left="180"/>
              <w:jc w:val="both"/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</w:pPr>
            <w:proofErr w:type="spellStart"/>
            <w:r w:rsidRPr="007E1BBD"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  <w:t>Paprastasis</w:t>
            </w:r>
            <w:proofErr w:type="spellEnd"/>
            <w:r w:rsidRPr="007E1BBD"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  <w:t>remontas</w:t>
            </w:r>
            <w:proofErr w:type="spellEnd"/>
          </w:p>
          <w:p w14:paraId="1EE0FE5F" w14:textId="77777777" w:rsidR="00733ACE" w:rsidRPr="007E1BBD" w:rsidRDefault="00733ACE" w:rsidP="008B0D44">
            <w:pPr>
              <w:ind w:left="180"/>
              <w:jc w:val="both"/>
              <w:rPr>
                <w:rFonts w:asciiTheme="minorHAnsi" w:hAnsiTheme="minorHAnsi" w:cstheme="minorHAnsi"/>
                <w:i/>
                <w:color w:val="000000"/>
                <w:spacing w:val="-2"/>
                <w:sz w:val="22"/>
                <w:szCs w:val="22"/>
                <w:u w:val="single"/>
              </w:rPr>
            </w:pPr>
            <w:r w:rsidRPr="007E1BBD"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733ACE" w:rsidRPr="009F7999" w14:paraId="125B40FE" w14:textId="77777777" w:rsidTr="008B0D44">
        <w:tc>
          <w:tcPr>
            <w:tcW w:w="2394" w:type="pct"/>
          </w:tcPr>
          <w:p w14:paraId="52439E52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Ref343687011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Projektas</w:t>
            </w:r>
            <w:bookmarkEnd w:id="7"/>
            <w:proofErr w:type="spellEnd"/>
          </w:p>
        </w:tc>
        <w:tc>
          <w:tcPr>
            <w:tcW w:w="2606" w:type="pct"/>
          </w:tcPr>
          <w:p w14:paraId="071D83F0" w14:textId="77777777" w:rsidR="00733ACE" w:rsidRPr="007E1BBD" w:rsidRDefault="00733ACE" w:rsidP="008B0D44">
            <w:pPr>
              <w:ind w:left="180"/>
              <w:jc w:val="both"/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</w:pP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Paprastojo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remonto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aprašą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pateiks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už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sutarties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vykdymą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atsakingas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asmuo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po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sutarties</w:t>
            </w:r>
            <w:proofErr w:type="spellEnd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spacing w:val="-2"/>
                <w:sz w:val="22"/>
                <w:szCs w:val="22"/>
                <w:lang w:eastAsia="ar-SA"/>
              </w:rPr>
              <w:t>įsigaliojimo</w:t>
            </w:r>
            <w:proofErr w:type="spellEnd"/>
          </w:p>
        </w:tc>
      </w:tr>
      <w:tr w:rsidR="00733ACE" w:rsidRPr="009F7999" w14:paraId="76B18218" w14:textId="77777777" w:rsidTr="008B0D44">
        <w:tc>
          <w:tcPr>
            <w:tcW w:w="2394" w:type="pct"/>
          </w:tcPr>
          <w:p w14:paraId="51D90998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Statybą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leidžiantis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dokumentas</w:t>
            </w:r>
            <w:proofErr w:type="spellEnd"/>
          </w:p>
        </w:tc>
        <w:tc>
          <w:tcPr>
            <w:tcW w:w="2606" w:type="pct"/>
          </w:tcPr>
          <w:p w14:paraId="0E51E456" w14:textId="77777777" w:rsidR="00733ACE" w:rsidRPr="009F7999" w:rsidRDefault="00733ACE" w:rsidP="008B0D44">
            <w:pPr>
              <w:ind w:left="180"/>
              <w:jc w:val="both"/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Theme="minorHAnsi" w:eastAsia="SimSun" w:hAnsiTheme="minorHAnsi" w:cstheme="minorHAnsi"/>
                <w:color w:val="000000"/>
                <w:spacing w:val="-2"/>
                <w:kern w:val="1"/>
                <w:sz w:val="22"/>
                <w:szCs w:val="22"/>
                <w:lang w:eastAsia="ar-SA"/>
              </w:rPr>
              <w:t>Netaikoma</w:t>
            </w:r>
            <w:proofErr w:type="spellEnd"/>
          </w:p>
        </w:tc>
      </w:tr>
      <w:tr w:rsidR="00733ACE" w:rsidRPr="009F7999" w14:paraId="4CAFC5D3" w14:textId="77777777" w:rsidTr="008B0D44">
        <w:tc>
          <w:tcPr>
            <w:tcW w:w="2394" w:type="pct"/>
          </w:tcPr>
          <w:p w14:paraId="12D8BE2B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Rangovas</w:t>
            </w:r>
            <w:proofErr w:type="spellEnd"/>
          </w:p>
        </w:tc>
        <w:tc>
          <w:tcPr>
            <w:tcW w:w="2606" w:type="pct"/>
          </w:tcPr>
          <w:p w14:paraId="5DB39032" w14:textId="1FF7C036" w:rsidR="00733ACE" w:rsidRPr="009F7999" w:rsidRDefault="00733ACE" w:rsidP="00EA4330">
            <w:pPr>
              <w:ind w:left="1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UAB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Geležinkelio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tiesimo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centras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Trikampio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g. 10, LT-25112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Lentvaris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Trakų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raj. sav.;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Juridinis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asmens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>kodas</w:t>
            </w:r>
            <w:proofErr w:type="spellEnd"/>
            <w:r w:rsidRPr="007E1B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- 181628163</w:t>
            </w:r>
          </w:p>
        </w:tc>
      </w:tr>
      <w:tr w:rsidR="00733ACE" w:rsidRPr="009F7999" w14:paraId="09FFD326" w14:textId="77777777" w:rsidTr="008B0D44">
        <w:tc>
          <w:tcPr>
            <w:tcW w:w="5000" w:type="pct"/>
            <w:gridSpan w:val="2"/>
          </w:tcPr>
          <w:p w14:paraId="0E450C91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F03B360" w14:textId="77777777" w:rsidTr="008B0D44">
        <w:tc>
          <w:tcPr>
            <w:tcW w:w="5000" w:type="pct"/>
            <w:gridSpan w:val="2"/>
          </w:tcPr>
          <w:p w14:paraId="3653FC52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PASLAUGŲ KAINA IR KITI MOKĖJIMAI</w:t>
            </w:r>
          </w:p>
        </w:tc>
      </w:tr>
      <w:tr w:rsidR="00733ACE" w:rsidRPr="009F7999" w14:paraId="35101BE2" w14:textId="77777777" w:rsidTr="008B0D44">
        <w:tc>
          <w:tcPr>
            <w:tcW w:w="2394" w:type="pct"/>
          </w:tcPr>
          <w:p w14:paraId="5C053EB1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Ref343543389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Kaina</w:t>
            </w:r>
            <w:bookmarkEnd w:id="8"/>
            <w:proofErr w:type="spellEnd"/>
          </w:p>
        </w:tc>
        <w:tc>
          <w:tcPr>
            <w:tcW w:w="2606" w:type="pct"/>
          </w:tcPr>
          <w:p w14:paraId="5042FDD1" w14:textId="21EFC82A" w:rsidR="00733ACE" w:rsidRPr="009F7999" w:rsidRDefault="00A11B5C" w:rsidP="008B0D44">
            <w:pPr>
              <w:ind w:left="167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ermStart w:id="1765277958" w:edGrp="everyone"/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Bendra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Sutarties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kaina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 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į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skaitant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PVM,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7400,00</w:t>
            </w:r>
            <w:r w:rsidR="00733ACE" w:rsidRPr="009F79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septyni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tūkstančiai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keturi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šimtai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eurų</w:t>
            </w:r>
            <w:proofErr w:type="spellEnd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00 </w:t>
            </w:r>
            <w:proofErr w:type="spellStart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ct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733ACE" w:rsidRPr="009F79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21 % PVM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1544,00 Eur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vienas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tūkstantis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penki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šimtai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keturiasdešimt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keturi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eurai</w:t>
            </w:r>
            <w:proofErr w:type="spellEnd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00 </w:t>
            </w:r>
            <w:proofErr w:type="spellStart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ct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Bendra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Sutarties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kaina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įskaitant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PVM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8954,00</w:t>
            </w:r>
            <w:r w:rsidR="00733ACE" w:rsidRPr="009F79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aštuoni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tūkstančiai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devyni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šimtai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penkiasdešimt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keturi</w:t>
            </w:r>
            <w:proofErr w:type="spellEnd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eurai</w:t>
            </w:r>
            <w:proofErr w:type="spellEnd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00 </w:t>
            </w:r>
            <w:proofErr w:type="spellStart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ct</w:t>
            </w:r>
            <w:proofErr w:type="spellEnd"/>
            <w:r w:rsidR="00E15FFB">
              <w:rPr>
                <w:rFonts w:asciiTheme="minorHAnsi" w:hAnsiTheme="minorHAnsi" w:cstheme="minorHAnsi"/>
                <w:i/>
                <w:sz w:val="22"/>
                <w:szCs w:val="22"/>
              </w:rPr>
              <w:t>).</w:t>
            </w:r>
            <w:permEnd w:id="1765277958"/>
          </w:p>
        </w:tc>
      </w:tr>
      <w:tr w:rsidR="00733ACE" w:rsidRPr="009F7999" w14:paraId="769486B0" w14:textId="77777777" w:rsidTr="008B0D44">
        <w:trPr>
          <w:trHeight w:val="232"/>
        </w:trPr>
        <w:tc>
          <w:tcPr>
            <w:tcW w:w="2394" w:type="pct"/>
          </w:tcPr>
          <w:p w14:paraId="460A8897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_Ref343543722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Avansas</w:t>
            </w:r>
            <w:bookmarkEnd w:id="9"/>
            <w:proofErr w:type="spellEnd"/>
          </w:p>
        </w:tc>
        <w:tc>
          <w:tcPr>
            <w:tcW w:w="2606" w:type="pct"/>
          </w:tcPr>
          <w:p w14:paraId="1D26DA61" w14:textId="77777777" w:rsidR="00733ACE" w:rsidRPr="009F7999" w:rsidRDefault="00733ACE" w:rsidP="008B0D44">
            <w:pPr>
              <w:ind w:left="16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ermStart w:id="1240817244" w:edGrp="everyone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Netaikoma</w:t>
            </w:r>
            <w:permEnd w:id="1240817244"/>
            <w:proofErr w:type="spellEnd"/>
          </w:p>
        </w:tc>
      </w:tr>
      <w:tr w:rsidR="00733ACE" w:rsidRPr="009F7999" w14:paraId="28085CF6" w14:textId="77777777" w:rsidTr="008B0D44">
        <w:trPr>
          <w:trHeight w:val="232"/>
        </w:trPr>
        <w:tc>
          <w:tcPr>
            <w:tcW w:w="2394" w:type="pct"/>
          </w:tcPr>
          <w:p w14:paraId="3B000AC5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Mokėjimo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tvarka</w:t>
            </w:r>
            <w:proofErr w:type="spellEnd"/>
          </w:p>
        </w:tc>
        <w:tc>
          <w:tcPr>
            <w:tcW w:w="2606" w:type="pct"/>
          </w:tcPr>
          <w:p w14:paraId="0BA9F2B9" w14:textId="77777777" w:rsidR="00733ACE" w:rsidRPr="009F7999" w:rsidRDefault="00733ACE" w:rsidP="00733ACE">
            <w:pPr>
              <w:pStyle w:val="ListParagraph"/>
              <w:numPr>
                <w:ilvl w:val="0"/>
                <w:numId w:val="3"/>
              </w:numPr>
              <w:ind w:left="214" w:firstLine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Už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teikiamas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mokama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pasirašymo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11D15DCE" w14:textId="77777777" w:rsidR="00733ACE" w:rsidRPr="009F7999" w:rsidRDefault="00733ACE" w:rsidP="00733ACE">
            <w:pPr>
              <w:pStyle w:val="ListParagraph"/>
              <w:numPr>
                <w:ilvl w:val="0"/>
                <w:numId w:val="3"/>
              </w:numPr>
              <w:ind w:left="214" w:firstLine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nurodoma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per 1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vieną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mėnesį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suteiktų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vertė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apskaičiuojama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proporcingai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atitinkamą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laikotarpį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priimtų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Darbų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vertei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pagal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visų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šalių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pasirašytus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Rangovo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pateikiamus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vertės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apskaičiavimui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taikomas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procentas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dviejų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skaičių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kablelio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tikslumu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iki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įsigaliojimo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dalis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Darbų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bus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priimta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pagal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Rangovo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pateikiamus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tuomet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pirmajame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nurodoma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vertė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skaičiuojama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papildomai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įvertinant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iki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įsigaliojimo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priimtų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Darbų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vertę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733ACE" w:rsidRPr="009F7999" w14:paraId="1A8B6849" w14:textId="77777777" w:rsidTr="008B0D44">
        <w:tc>
          <w:tcPr>
            <w:tcW w:w="5000" w:type="pct"/>
            <w:gridSpan w:val="2"/>
          </w:tcPr>
          <w:p w14:paraId="63E31AE3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FB68D21" w14:textId="77777777" w:rsidTr="008B0D44">
        <w:tc>
          <w:tcPr>
            <w:tcW w:w="5000" w:type="pct"/>
            <w:gridSpan w:val="2"/>
          </w:tcPr>
          <w:p w14:paraId="712C689F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TERMINAI</w:t>
            </w:r>
          </w:p>
        </w:tc>
      </w:tr>
      <w:tr w:rsidR="00733ACE" w:rsidRPr="009F7999" w14:paraId="106CA12C" w14:textId="77777777" w:rsidTr="008B0D44">
        <w:trPr>
          <w:trHeight w:val="114"/>
        </w:trPr>
        <w:tc>
          <w:tcPr>
            <w:tcW w:w="2394" w:type="pct"/>
          </w:tcPr>
          <w:p w14:paraId="2950FE16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terminas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laikotarpis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06" w:type="pct"/>
          </w:tcPr>
          <w:p w14:paraId="23305654" w14:textId="5B3E1448" w:rsidR="00733ACE" w:rsidRPr="00B35929" w:rsidRDefault="00733ACE" w:rsidP="008B0D44">
            <w:pPr>
              <w:ind w:left="1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84299030" w:edGrp="everyone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240 (du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šimtai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keturiasdešimt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kalendorinių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dienų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įsigaliojimo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Tai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preliminarus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terminas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negali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būti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trumpesnis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kaip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visiškas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Darbų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užbaigimas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pasirašytą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Rangovu</w:t>
            </w:r>
            <w:proofErr w:type="spellEnd"/>
            <w:r w:rsidR="004D66D0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permEnd w:id="784299030"/>
            <w:proofErr w:type="gramEnd"/>
          </w:p>
        </w:tc>
      </w:tr>
      <w:tr w:rsidR="00733ACE" w:rsidRPr="009F7999" w14:paraId="450D97B1" w14:textId="77777777" w:rsidTr="008B0D44">
        <w:trPr>
          <w:trHeight w:val="114"/>
        </w:trPr>
        <w:tc>
          <w:tcPr>
            <w:tcW w:w="2394" w:type="pct"/>
          </w:tcPr>
          <w:p w14:paraId="326FC17E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priėmimas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perdavimas</w:t>
            </w:r>
            <w:proofErr w:type="spellEnd"/>
          </w:p>
        </w:tc>
        <w:tc>
          <w:tcPr>
            <w:tcW w:w="2606" w:type="pct"/>
          </w:tcPr>
          <w:p w14:paraId="045ED492" w14:textId="77777777" w:rsidR="00733ACE" w:rsidRPr="009F7999" w:rsidRDefault="00733ACE" w:rsidP="008B0D44">
            <w:pPr>
              <w:ind w:left="1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Suteiktos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priimamos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abiem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Šalims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pasirašius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priėmimo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perdavimo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aktus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33ACE" w:rsidRPr="009F7999" w14:paraId="0F1CE3F3" w14:textId="77777777" w:rsidTr="008B0D44">
        <w:trPr>
          <w:trHeight w:val="114"/>
        </w:trPr>
        <w:tc>
          <w:tcPr>
            <w:tcW w:w="2394" w:type="pct"/>
          </w:tcPr>
          <w:p w14:paraId="3581330C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galiojimo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terminas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laikotarpis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06" w:type="pct"/>
          </w:tcPr>
          <w:p w14:paraId="389033B8" w14:textId="77777777" w:rsidR="00733ACE" w:rsidRPr="009F7999" w:rsidRDefault="00733ACE" w:rsidP="008B0D44">
            <w:pPr>
              <w:ind w:left="73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galioja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iki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visiško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Šalių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įsipareigojimų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įvykdymo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bet ne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ilgiau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kaip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šimtai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aštuoniasdešimt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penkias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kalendorines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dienas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33ACE" w:rsidRPr="009F7999" w14:paraId="18C1EB71" w14:textId="77777777" w:rsidTr="008B0D44">
        <w:tc>
          <w:tcPr>
            <w:tcW w:w="2394" w:type="pct"/>
          </w:tcPr>
          <w:p w14:paraId="6261AD67" w14:textId="77777777" w:rsidR="00733ACE" w:rsidRPr="009F7999" w:rsidRDefault="00733ACE" w:rsidP="008B0D44">
            <w:pPr>
              <w:pStyle w:val="ListParagraph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pct"/>
          </w:tcPr>
          <w:p w14:paraId="5846373C" w14:textId="77777777" w:rsidR="00733ACE" w:rsidRPr="009F7999" w:rsidRDefault="00733ACE" w:rsidP="008B0D44">
            <w:pPr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A2D2FAA" w14:textId="77777777" w:rsidTr="008B0D44">
        <w:tc>
          <w:tcPr>
            <w:tcW w:w="5000" w:type="pct"/>
            <w:gridSpan w:val="2"/>
          </w:tcPr>
          <w:p w14:paraId="6271FE14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PASLAUGOS TEIKĖJO DRAUDIMAS IR GARANTIJOS</w:t>
            </w:r>
          </w:p>
        </w:tc>
      </w:tr>
      <w:tr w:rsidR="00733ACE" w:rsidRPr="009F7999" w14:paraId="0171E405" w14:textId="77777777" w:rsidTr="008B0D44">
        <w:tc>
          <w:tcPr>
            <w:tcW w:w="2394" w:type="pct"/>
          </w:tcPr>
          <w:p w14:paraId="428A63E6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Ref343592393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privalomojo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civilinės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atsakomybės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draudimo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  <w:bookmarkEnd w:id="10"/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Taikoma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kiekvienai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p.o.d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atskirai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06" w:type="pct"/>
          </w:tcPr>
          <w:p w14:paraId="522751E9" w14:textId="77777777" w:rsidR="00733ACE" w:rsidRPr="009F7999" w:rsidRDefault="00733ACE" w:rsidP="008B0D44">
            <w:pPr>
              <w:ind w:left="167" w:hanging="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29700847" w:edGrp="everyone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mažesnė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kaip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100 000,00 Eur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vienas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šimtas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tūkstančių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eurų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497E2BF0" w14:textId="77777777" w:rsidR="00733ACE" w:rsidRPr="009F7999" w:rsidRDefault="00733ACE" w:rsidP="008B0D44">
            <w:pPr>
              <w:ind w:left="167" w:hanging="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Besąlyginė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išskaita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turi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būti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didesnė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2 900,00 Eur (du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tūkstančiai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devyni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šimtai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eurų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08687D4B" w14:textId="77777777" w:rsidR="00733ACE" w:rsidRPr="009F7999" w:rsidRDefault="00733ACE" w:rsidP="008B0D44">
            <w:pPr>
              <w:ind w:left="167" w:hanging="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Draudimo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sutartyje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turi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būti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išvardinti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visi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aptarnaujami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statiniai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9B5753" w14:textId="77777777" w:rsidR="00733ACE" w:rsidRPr="009F7999" w:rsidRDefault="00733ACE" w:rsidP="008B0D44">
            <w:pPr>
              <w:ind w:left="167" w:hanging="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Kitos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draudimo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nurodytos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skyriuje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ermEnd w:id="1829700847"/>
          </w:p>
        </w:tc>
      </w:tr>
      <w:tr w:rsidR="00733ACE" w:rsidRPr="009F7999" w14:paraId="6CA40485" w14:textId="77777777" w:rsidTr="008B0D44">
        <w:tc>
          <w:tcPr>
            <w:tcW w:w="2394" w:type="pct"/>
          </w:tcPr>
          <w:p w14:paraId="094557A1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Ref343592478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įvykdymo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užtikrinimai</w:t>
            </w:r>
            <w:bookmarkEnd w:id="11"/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Taikoma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kiekvienai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p.o.d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atskirai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06" w:type="pct"/>
          </w:tcPr>
          <w:p w14:paraId="443F7DBA" w14:textId="77777777" w:rsidR="00733ACE" w:rsidRPr="009F7999" w:rsidRDefault="00733ACE" w:rsidP="008B0D44">
            <w:pPr>
              <w:ind w:left="1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įvykdymas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užtikrinamas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C71D6D" w14:textId="77777777" w:rsidR="00733ACE" w:rsidRPr="009F7999" w:rsidRDefault="00733ACE" w:rsidP="00733A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47.1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47.2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punkte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nurodytais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delspinigiais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C0C074" w14:textId="77777777" w:rsidR="00733ACE" w:rsidRPr="009F7999" w:rsidRDefault="00733ACE" w:rsidP="00733A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500,00 Eur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penkių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šimtų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eurų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dydžio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bauda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kitus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teisės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aktų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pažeidimus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33ACE" w:rsidRPr="009F7999" w14:paraId="7E19F6B0" w14:textId="77777777" w:rsidTr="008B0D44">
        <w:tc>
          <w:tcPr>
            <w:tcW w:w="2394" w:type="pct"/>
          </w:tcPr>
          <w:p w14:paraId="6B4E4F1C" w14:textId="77777777" w:rsidR="00733ACE" w:rsidRPr="009F7999" w:rsidRDefault="00733ACE" w:rsidP="008B0D44">
            <w:pPr>
              <w:tabs>
                <w:tab w:val="left" w:pos="691"/>
              </w:tabs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6.3.  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įvykdymo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užtikrinimo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pristatymo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adresas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jei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taikoma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06" w:type="pct"/>
          </w:tcPr>
          <w:p w14:paraId="363DDB7C" w14:textId="77777777" w:rsidR="00733ACE" w:rsidRPr="009F7999" w:rsidRDefault="00733ACE" w:rsidP="008B0D44">
            <w:pPr>
              <w:ind w:left="167" w:hanging="25"/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</w:tc>
      </w:tr>
      <w:tr w:rsidR="00733ACE" w:rsidRPr="009F7999" w14:paraId="4489354F" w14:textId="77777777" w:rsidTr="008B0D44">
        <w:tc>
          <w:tcPr>
            <w:tcW w:w="2394" w:type="pct"/>
          </w:tcPr>
          <w:p w14:paraId="4519CB8D" w14:textId="77777777" w:rsidR="00733ACE" w:rsidRPr="009F7999" w:rsidRDefault="00733ACE" w:rsidP="008B0D44">
            <w:pPr>
              <w:tabs>
                <w:tab w:val="left" w:pos="691"/>
              </w:tabs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pct"/>
          </w:tcPr>
          <w:p w14:paraId="09A2C5C1" w14:textId="77777777" w:rsidR="00733ACE" w:rsidRPr="009F7999" w:rsidRDefault="00733ACE" w:rsidP="008B0D44">
            <w:pPr>
              <w:ind w:left="1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5683D8B" w14:textId="77777777" w:rsidTr="008B0D44">
        <w:tc>
          <w:tcPr>
            <w:tcW w:w="5000" w:type="pct"/>
            <w:gridSpan w:val="2"/>
          </w:tcPr>
          <w:p w14:paraId="5ECEFA61" w14:textId="77777777" w:rsidR="00733ACE" w:rsidRPr="009F7999" w:rsidRDefault="00733ACE" w:rsidP="008B0D4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BENDRŲJŲ SĄLYGŲ PAKEITIMAI</w:t>
            </w:r>
          </w:p>
        </w:tc>
      </w:tr>
      <w:tr w:rsidR="00733ACE" w:rsidRPr="009F7999" w14:paraId="3ED94BE7" w14:textId="77777777" w:rsidTr="008B0D44">
        <w:tc>
          <w:tcPr>
            <w:tcW w:w="2394" w:type="pct"/>
          </w:tcPr>
          <w:p w14:paraId="4B0DE353" w14:textId="77777777" w:rsidR="00733ACE" w:rsidRPr="009F7999" w:rsidRDefault="00733ACE" w:rsidP="008B0D44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pakeitimai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papildymai</w:t>
            </w:r>
            <w:proofErr w:type="spellEnd"/>
          </w:p>
        </w:tc>
        <w:tc>
          <w:tcPr>
            <w:tcW w:w="2606" w:type="pct"/>
          </w:tcPr>
          <w:p w14:paraId="6ED6BB38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Pateikiama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1</w:t>
            </w:r>
          </w:p>
        </w:tc>
      </w:tr>
      <w:tr w:rsidR="00733ACE" w:rsidRPr="009F7999" w14:paraId="63F3B28B" w14:textId="77777777" w:rsidTr="008B0D44">
        <w:tc>
          <w:tcPr>
            <w:tcW w:w="2394" w:type="pct"/>
          </w:tcPr>
          <w:p w14:paraId="3141C0CC" w14:textId="77777777" w:rsidR="00733ACE" w:rsidRPr="009F7999" w:rsidRDefault="00733ACE" w:rsidP="008B0D44">
            <w:pPr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pct"/>
          </w:tcPr>
          <w:p w14:paraId="428E30D2" w14:textId="77777777" w:rsidR="00733ACE" w:rsidRPr="009F7999" w:rsidRDefault="00733ACE" w:rsidP="008B0D44">
            <w:pPr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28F34C87" w14:textId="77777777" w:rsidTr="008B0D44">
        <w:tc>
          <w:tcPr>
            <w:tcW w:w="5000" w:type="pct"/>
            <w:gridSpan w:val="2"/>
          </w:tcPr>
          <w:p w14:paraId="17155890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KITOS SĄLYGOS</w:t>
            </w:r>
          </w:p>
        </w:tc>
      </w:tr>
      <w:tr w:rsidR="00733ACE" w:rsidRPr="009F7999" w14:paraId="68EE8D03" w14:textId="77777777" w:rsidTr="008B0D44">
        <w:tc>
          <w:tcPr>
            <w:tcW w:w="2394" w:type="pct"/>
          </w:tcPr>
          <w:p w14:paraId="18CBA412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rengėjas</w:t>
            </w:r>
            <w:proofErr w:type="spellEnd"/>
          </w:p>
        </w:tc>
        <w:tc>
          <w:tcPr>
            <w:tcW w:w="2606" w:type="pct"/>
          </w:tcPr>
          <w:p w14:paraId="576215E3" w14:textId="779CF089" w:rsidR="00733ACE" w:rsidRPr="00B32FA0" w:rsidRDefault="00733ACE" w:rsidP="008B0D44">
            <w:pPr>
              <w:ind w:lef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5DFC93E7" w14:textId="77777777" w:rsidTr="008B0D44">
        <w:trPr>
          <w:trHeight w:val="1565"/>
        </w:trPr>
        <w:tc>
          <w:tcPr>
            <w:tcW w:w="2394" w:type="pct"/>
          </w:tcPr>
          <w:p w14:paraId="22A4AD58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Hlk8736196"/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Už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vykdymą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perdavimo-priėmimo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aktų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pasirašymą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PVM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sąskaitų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faktūrų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per E-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sąskaitą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priėmimą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atsakingas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Užsakovo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asmuo</w:t>
            </w:r>
            <w:bookmarkEnd w:id="12"/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229AC91C" w14:textId="77777777" w:rsidR="00733ACE" w:rsidRPr="009F7999" w:rsidRDefault="00733ACE" w:rsidP="008B0D44">
            <w:pPr>
              <w:pStyle w:val="ListParagraph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Apie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atsakingo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asmens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pasikeitimą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Šalis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informuoja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kitą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Šalį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8.3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punkte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nurodytu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el.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paštu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pakeitimas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įgaliojimų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įforminimas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dėl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šios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priežasties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nėra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atliekamas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6" w:type="pct"/>
          </w:tcPr>
          <w:p w14:paraId="2721FD3B" w14:textId="5AC4A490" w:rsidR="00733ACE" w:rsidRPr="005A53DD" w:rsidRDefault="00733ACE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5F8E98E" w14:textId="77777777" w:rsidTr="008B0D44">
        <w:trPr>
          <w:trHeight w:val="552"/>
        </w:trPr>
        <w:tc>
          <w:tcPr>
            <w:tcW w:w="2394" w:type="pct"/>
          </w:tcPr>
          <w:p w14:paraId="3DC2EC18" w14:textId="77777777" w:rsidR="00733ACE" w:rsidRPr="009F7999" w:rsidRDefault="00733ACE" w:rsidP="008B0D44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Už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vykdymą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perdavimo-priėmimo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aktų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pasirašymą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PVM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sąskaitų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faktūrų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per E-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sąskaitą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pateikimą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atsakingas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Paslaugos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asmuo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79E83320" w14:textId="77777777" w:rsidR="00733ACE" w:rsidRPr="009F7999" w:rsidRDefault="00733ACE" w:rsidP="008B0D44">
            <w:pPr>
              <w:pStyle w:val="ListParagraph"/>
              <w:ind w:left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Apie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atsakingo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asmens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pasikeitimą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Šalis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informuoja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kitą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Šalį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atitinkamai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8.2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punkte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nurodytu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el.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paštu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pakeitimas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įgaliojimų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įforminimas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dėl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šios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priežasties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nėra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atliekamas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6" w:type="pct"/>
          </w:tcPr>
          <w:p w14:paraId="5BFE4DBB" w14:textId="15C337F5" w:rsidR="00733ACE" w:rsidRPr="00EA4330" w:rsidRDefault="00246F81" w:rsidP="008B0D44">
            <w:pPr>
              <w:ind w:left="18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ermStart w:id="2059670298" w:edGrp="everyone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UAB “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Statybų</w:t>
            </w:r>
            <w:proofErr w:type="spellEnd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techninė</w:t>
            </w:r>
            <w:proofErr w:type="spellEnd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priežiūra</w:t>
            </w:r>
            <w:proofErr w:type="spellEnd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” 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direktorius</w:t>
            </w:r>
            <w:proofErr w:type="spellEnd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Antanas</w:t>
            </w:r>
            <w:proofErr w:type="spellEnd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Latakas</w:t>
            </w:r>
            <w:proofErr w:type="spellEnd"/>
            <w:r w:rsidR="00733ACE"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>, tel.</w:t>
            </w:r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85 274 1461</w:t>
            </w:r>
            <w:r w:rsidR="00733ACE"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el. </w:t>
            </w:r>
            <w:r w:rsidRPr="00EA43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p. </w:t>
            </w:r>
            <w:r w:rsidR="00EA4330">
              <w:rPr>
                <w:rFonts w:asciiTheme="minorHAnsi" w:hAnsiTheme="minorHAnsi" w:cstheme="minorHAnsi"/>
                <w:iCs/>
                <w:sz w:val="22"/>
                <w:szCs w:val="22"/>
              </w:rPr>
              <w:t>stp@statybuprieziura.lt</w:t>
            </w:r>
            <w:permEnd w:id="2059670298"/>
          </w:p>
        </w:tc>
      </w:tr>
      <w:tr w:rsidR="00733ACE" w:rsidRPr="009F7999" w14:paraId="735C54F6" w14:textId="77777777" w:rsidTr="008B0D44">
        <w:tc>
          <w:tcPr>
            <w:tcW w:w="2394" w:type="pct"/>
          </w:tcPr>
          <w:p w14:paraId="7924D8A1" w14:textId="77777777" w:rsidR="00733ACE" w:rsidRPr="009F7999" w:rsidRDefault="00733ACE" w:rsidP="008B0D44">
            <w:pPr>
              <w:ind w:left="607" w:hanging="6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8.4.  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Už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ataskaitų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paskelbimą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atsakingas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asmuo</w:t>
            </w:r>
            <w:proofErr w:type="spellEnd"/>
          </w:p>
        </w:tc>
        <w:tc>
          <w:tcPr>
            <w:tcW w:w="2606" w:type="pct"/>
          </w:tcPr>
          <w:p w14:paraId="159795D9" w14:textId="77777777" w:rsidR="00733ACE" w:rsidRPr="009F7999" w:rsidRDefault="00733ACE" w:rsidP="008B0D44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permStart w:id="937234413" w:edGrp="everyone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8.1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punkte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nurodytas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asmuo</w:t>
            </w:r>
            <w:permEnd w:id="937234413"/>
            <w:proofErr w:type="spellEnd"/>
          </w:p>
        </w:tc>
      </w:tr>
      <w:tr w:rsidR="00733ACE" w:rsidRPr="009F7999" w14:paraId="4843013E" w14:textId="77777777" w:rsidTr="008B0D44">
        <w:tc>
          <w:tcPr>
            <w:tcW w:w="5000" w:type="pct"/>
            <w:gridSpan w:val="2"/>
          </w:tcPr>
          <w:p w14:paraId="383444DF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2F9735CB" w14:textId="77777777" w:rsidTr="008B0D44">
        <w:tc>
          <w:tcPr>
            <w:tcW w:w="5000" w:type="pct"/>
            <w:gridSpan w:val="2"/>
          </w:tcPr>
          <w:p w14:paraId="4D938662" w14:textId="77777777" w:rsidR="00733ACE" w:rsidRPr="009F7999" w:rsidRDefault="00733ACE" w:rsidP="008B0D4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SPECIALIŲJŲ SĄLYGŲ PRIEDAI</w:t>
            </w:r>
          </w:p>
        </w:tc>
      </w:tr>
      <w:tr w:rsidR="00733ACE" w:rsidRPr="009F7999" w14:paraId="6FBF6800" w14:textId="77777777" w:rsidTr="008B0D44">
        <w:tc>
          <w:tcPr>
            <w:tcW w:w="5000" w:type="pct"/>
            <w:gridSpan w:val="2"/>
          </w:tcPr>
          <w:p w14:paraId="56F77E91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1 -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pakeitimai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papildymai</w:t>
            </w:r>
            <w:proofErr w:type="spellEnd"/>
          </w:p>
        </w:tc>
      </w:tr>
      <w:tr w:rsidR="00733ACE" w:rsidRPr="009F7999" w14:paraId="7EE486FB" w14:textId="77777777" w:rsidTr="008B0D44">
        <w:tc>
          <w:tcPr>
            <w:tcW w:w="5000" w:type="pct"/>
            <w:gridSpan w:val="2"/>
          </w:tcPr>
          <w:p w14:paraId="1D05B459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ermStart w:id="1991925855" w:edGrp="everyone" w:colFirst="0" w:colLast="0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2 -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Užduotis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Techninė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specifikacija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33ACE" w:rsidRPr="009F7999" w14:paraId="511C92D0" w14:textId="77777777" w:rsidTr="008B0D44">
        <w:tc>
          <w:tcPr>
            <w:tcW w:w="5000" w:type="pct"/>
            <w:gridSpan w:val="2"/>
          </w:tcPr>
          <w:p w14:paraId="201B446B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ermStart w:id="1332288455" w:edGrp="everyone" w:colFirst="0" w:colLast="0"/>
            <w:permEnd w:id="1991925855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3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Pirkimo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dokumentai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nepridedami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o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saugoma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CVP IS)</w:t>
            </w:r>
          </w:p>
        </w:tc>
      </w:tr>
      <w:tr w:rsidR="00733ACE" w:rsidRPr="009F7999" w14:paraId="3A07BD75" w14:textId="77777777" w:rsidTr="008B0D44">
        <w:tc>
          <w:tcPr>
            <w:tcW w:w="5000" w:type="pct"/>
            <w:gridSpan w:val="2"/>
          </w:tcPr>
          <w:p w14:paraId="50391C83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ermStart w:id="160251077" w:edGrp="everyone" w:colFirst="0" w:colLast="0"/>
            <w:permEnd w:id="1332288455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 4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pateiktas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pasiūlymas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jo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paaiškinimai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atskirai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nepridedamas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o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saugomas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CVP IS)</w:t>
            </w:r>
          </w:p>
        </w:tc>
      </w:tr>
      <w:tr w:rsidR="00733ACE" w:rsidRPr="009F7999" w14:paraId="4262D419" w14:textId="77777777" w:rsidTr="008B0D44">
        <w:tc>
          <w:tcPr>
            <w:tcW w:w="5000" w:type="pct"/>
            <w:gridSpan w:val="2"/>
          </w:tcPr>
          <w:p w14:paraId="55FC129C" w14:textId="77777777" w:rsidR="00733ACE" w:rsidRPr="009F7999" w:rsidRDefault="00733ACE" w:rsidP="008B0D44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49450875" w:edGrp="everyone" w:colFirst="0" w:colLast="0"/>
            <w:permStart w:id="1716542288" w:edGrp="everyone" w:colFirst="1" w:colLast="1"/>
            <w:permEnd w:id="160251077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5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civilinės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atsakomybės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privalomojo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draudimo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liudijimo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poliso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kopija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pridedamas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pasirašymo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saugoma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pas 8.2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punkte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nurodytą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Užsakovo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asmenį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</w:tr>
      <w:tr w:rsidR="00733ACE" w:rsidRPr="009F7999" w14:paraId="266897FD" w14:textId="77777777" w:rsidTr="008B0D44">
        <w:tc>
          <w:tcPr>
            <w:tcW w:w="5000" w:type="pct"/>
            <w:gridSpan w:val="2"/>
          </w:tcPr>
          <w:p w14:paraId="646F8C5C" w14:textId="77777777" w:rsidR="00733ACE" w:rsidRPr="009F7999" w:rsidRDefault="00733ACE" w:rsidP="008B0D44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ermStart w:id="1321166743" w:edGrp="everyone" w:colFirst="0" w:colLast="0"/>
            <w:permEnd w:id="449450875"/>
            <w:permEnd w:id="1716542288"/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Nr. 6 –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bendrosios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</w:t>
            </w:r>
            <w:proofErr w:type="spellEnd"/>
          </w:p>
        </w:tc>
      </w:tr>
      <w:permEnd w:id="1321166743"/>
      <w:tr w:rsidR="00733ACE" w:rsidRPr="009F7999" w14:paraId="0C966F67" w14:textId="77777777" w:rsidTr="008B0D44">
        <w:tc>
          <w:tcPr>
            <w:tcW w:w="5000" w:type="pct"/>
            <w:gridSpan w:val="2"/>
          </w:tcPr>
          <w:p w14:paraId="159B9456" w14:textId="77777777" w:rsidR="00733ACE" w:rsidRPr="009F7999" w:rsidRDefault="00733ACE" w:rsidP="008B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640DC92A" w14:textId="77777777" w:rsidTr="008B0D44">
        <w:tc>
          <w:tcPr>
            <w:tcW w:w="5000" w:type="pct"/>
            <w:gridSpan w:val="2"/>
          </w:tcPr>
          <w:p w14:paraId="023C72D3" w14:textId="77777777" w:rsidR="00733ACE" w:rsidRPr="009F7999" w:rsidRDefault="00733ACE" w:rsidP="008B0D44">
            <w:pPr>
              <w:tabs>
                <w:tab w:val="left" w:pos="851"/>
                <w:tab w:val="left" w:pos="1134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Sutarčiai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taikoma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pirkimo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paskelbimo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dieną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aktuali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AB „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Lietuvos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proofErr w:type="gram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geležinkeliai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“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generalinio</w:t>
            </w:r>
            <w:proofErr w:type="spellEnd"/>
            <w:proofErr w:type="gram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direktoriaus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įsakymu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patvirtinta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Bendrųjų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redakcija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skelbiama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tinklapyje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hyperlink r:id="rId9" w:history="1">
              <w:r w:rsidRPr="009F7999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  <w:lang w:eastAsia="x-none"/>
                </w:rPr>
                <w:t>www.litrail.lt</w:t>
              </w:r>
            </w:hyperlink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kurių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nuostatomis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Šalys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yra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visiškai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susipažinusios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jas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>vykdys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  <w:lang w:eastAsia="x-none"/>
              </w:rPr>
              <w:t xml:space="preserve">.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Šalių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pasirašytos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Specialiosios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kartu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Bendrosiomis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sąlygomis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aukščiau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išvardintais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priedais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sudaro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tarp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Užsakovo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Laikoma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kad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Sutartį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sudarantys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dokumentai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vienas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kitą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paaiškina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.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Jeigu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priedų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nuostatos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neatitinka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Bendrųjų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nuostatų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pirmenybė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yra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teikiama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bei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priedų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nuostatoms</w:t>
            </w:r>
            <w:proofErr w:type="spellEnd"/>
            <w:r w:rsidRPr="009F7999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Bendrosiose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nurodytos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alternatyvios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nuostatos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prierašu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taikoma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proofErr w:type="gram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„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tokių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būtų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“, „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tokių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yra</w:t>
            </w:r>
            <w:proofErr w:type="spellEnd"/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“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pan</w:t>
            </w:r>
            <w:r w:rsidRPr="009F79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taikomos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tik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tokiu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atveju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jeigu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konkrečiai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aprašomos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Specialiosiose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prieduose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pat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jeigu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taikymas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būtinas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atsižvelgiant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į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galiojantį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teisinį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reguliavimą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susijusį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>dalyku</w:t>
            </w:r>
            <w:proofErr w:type="spellEnd"/>
            <w:r w:rsidRPr="009F79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Esant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tarpusavio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neatitikimams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tarp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Specialiųjų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sąlygų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jos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priedų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prioritetas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teikiamas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šiam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Šalių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pasirašytam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tekstui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po to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pirkimo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kurio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pagrindu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buvo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sudaryta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Sutartis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dokumentams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, po to –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Paslaugų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teikėjo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pasiūlymui</w:t>
            </w:r>
            <w:proofErr w:type="spellEnd"/>
            <w:r w:rsidRPr="009F7999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.</w:t>
            </w:r>
          </w:p>
        </w:tc>
      </w:tr>
      <w:tr w:rsidR="00733ACE" w:rsidRPr="009F7999" w14:paraId="7DFCAFC2" w14:textId="77777777" w:rsidTr="008B0D44">
        <w:tc>
          <w:tcPr>
            <w:tcW w:w="5000" w:type="pct"/>
            <w:gridSpan w:val="2"/>
          </w:tcPr>
          <w:p w14:paraId="7FEB3928" w14:textId="77777777" w:rsidR="00733ACE" w:rsidRPr="009F7999" w:rsidRDefault="00733ACE" w:rsidP="008B0D44">
            <w:pPr>
              <w:tabs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ACE" w:rsidRPr="009F7999" w14:paraId="45F7885E" w14:textId="77777777" w:rsidTr="008B0D44">
        <w:tc>
          <w:tcPr>
            <w:tcW w:w="5000" w:type="pct"/>
            <w:gridSpan w:val="2"/>
          </w:tcPr>
          <w:p w14:paraId="61EFABF9" w14:textId="77777777" w:rsidR="00733ACE" w:rsidRPr="009F7999" w:rsidRDefault="00733ACE" w:rsidP="008B0D44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Šalys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pasirašydamos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šias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Specialiąsias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sąlygas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patvirtina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kad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perskaitė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tiek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Specialiąsias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sąlygas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priedus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tiek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Bendrąsias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sąlygas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suprato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turinį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visos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Sutarties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sąlygos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visiškai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atitinka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jų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valią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ir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tikruosius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ketinimus</w:t>
            </w:r>
            <w:proofErr w:type="spellEnd"/>
            <w:r w:rsidRPr="009F799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42A54B18" w14:textId="77777777" w:rsidR="00733ACE" w:rsidRPr="009F7999" w:rsidRDefault="00733ACE" w:rsidP="008B0D44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35"/>
              <w:gridCol w:w="4928"/>
            </w:tblGrid>
            <w:tr w:rsidR="00EA4330" w:rsidRPr="009F7999" w14:paraId="27F2F460" w14:textId="77777777" w:rsidTr="008B0D44">
              <w:trPr>
                <w:jc w:val="center"/>
              </w:trPr>
              <w:tc>
                <w:tcPr>
                  <w:tcW w:w="5335" w:type="dxa"/>
                </w:tcPr>
                <w:p w14:paraId="5A3EB72D" w14:textId="10F8F8BE" w:rsidR="00733ACE" w:rsidRPr="009F7999" w:rsidRDefault="00A11B5C" w:rsidP="008B0D44">
                  <w:pPr>
                    <w:pStyle w:val="Foo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733ACE" w:rsidRPr="009F799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Užsakovo vardu:</w:t>
                  </w:r>
                </w:p>
                <w:p w14:paraId="0A6B30A3" w14:textId="77777777" w:rsidR="00EA4330" w:rsidRDefault="00EA4330" w:rsidP="008B0D44">
                  <w:pPr>
                    <w:pStyle w:val="Foo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Geležinkelių infrastruktūros direkcijos </w:t>
                  </w:r>
                </w:p>
                <w:p w14:paraId="0D768EF4" w14:textId="6ACFA1FF" w:rsidR="00733ACE" w:rsidRPr="009F7999" w:rsidRDefault="00EA4330" w:rsidP="008B0D44">
                  <w:pPr>
                    <w:pStyle w:val="Foo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Korporatyvinės veiklos departamento direktorė       Vitalija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Uzialaitė</w:t>
                  </w:r>
                  <w:proofErr w:type="spellEnd"/>
                  <w:r w:rsidRPr="009F799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14:paraId="1856EA9A" w14:textId="77777777" w:rsidR="00733ACE" w:rsidRPr="009F7999" w:rsidRDefault="00733ACE" w:rsidP="008B0D44">
                  <w:pPr>
                    <w:pStyle w:val="Foo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F799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Paslaugos teikėjo vardu:</w:t>
                  </w:r>
                </w:p>
                <w:p w14:paraId="5972E61E" w14:textId="318ED19C" w:rsidR="00733ACE" w:rsidRPr="009F7999" w:rsidRDefault="00FA77AA" w:rsidP="008B0D44">
                  <w:pPr>
                    <w:pStyle w:val="Foo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Antanas Latakas</w:t>
                  </w:r>
                </w:p>
              </w:tc>
            </w:tr>
          </w:tbl>
          <w:p w14:paraId="2E95DACC" w14:textId="77777777" w:rsidR="00733ACE" w:rsidRPr="009F7999" w:rsidRDefault="00733ACE" w:rsidP="008B0D44">
            <w:pPr>
              <w:tabs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376A32" w14:textId="77777777" w:rsidR="00733ACE" w:rsidRPr="009F7999" w:rsidRDefault="00733ACE" w:rsidP="00733ACE">
      <w:pPr>
        <w:rPr>
          <w:rFonts w:asciiTheme="minorHAnsi" w:hAnsiTheme="minorHAnsi" w:cstheme="minorHAnsi"/>
          <w:sz w:val="22"/>
          <w:szCs w:val="22"/>
        </w:rPr>
      </w:pPr>
    </w:p>
    <w:p w14:paraId="1CF1D729" w14:textId="77777777" w:rsidR="00A07269" w:rsidRDefault="00A07269">
      <w:bookmarkStart w:id="13" w:name="_GoBack"/>
      <w:bookmarkEnd w:id="13"/>
    </w:p>
    <w:sectPr w:rsidR="00A07269" w:rsidSect="00641344">
      <w:headerReference w:type="default" r:id="rId10"/>
      <w:pgSz w:w="12240" w:h="15840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81908" w14:textId="77777777" w:rsidR="00733ACE" w:rsidRDefault="00733ACE" w:rsidP="00733ACE">
      <w:r>
        <w:separator/>
      </w:r>
    </w:p>
  </w:endnote>
  <w:endnote w:type="continuationSeparator" w:id="0">
    <w:p w14:paraId="7ECA1F0E" w14:textId="77777777" w:rsidR="00733ACE" w:rsidRDefault="00733ACE" w:rsidP="0073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C0926" w14:textId="77777777" w:rsidR="00733ACE" w:rsidRDefault="00733ACE" w:rsidP="00733ACE">
      <w:r>
        <w:separator/>
      </w:r>
    </w:p>
  </w:footnote>
  <w:footnote w:type="continuationSeparator" w:id="0">
    <w:p w14:paraId="7E1A603D" w14:textId="77777777" w:rsidR="00733ACE" w:rsidRDefault="00733ACE" w:rsidP="0073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9524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394C69" w14:textId="77777777" w:rsidR="00641344" w:rsidRDefault="009113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353D60" w14:textId="77777777" w:rsidR="00641344" w:rsidRDefault="006F6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67C0"/>
    <w:multiLevelType w:val="hybridMultilevel"/>
    <w:tmpl w:val="AD9A8F84"/>
    <w:lvl w:ilvl="0" w:tplc="A1B421E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7" w:hanging="360"/>
      </w:pPr>
    </w:lvl>
    <w:lvl w:ilvl="2" w:tplc="0427001B" w:tentative="1">
      <w:start w:val="1"/>
      <w:numFmt w:val="lowerRoman"/>
      <w:lvlText w:val="%3."/>
      <w:lvlJc w:val="right"/>
      <w:pPr>
        <w:ind w:left="1967" w:hanging="180"/>
      </w:pPr>
    </w:lvl>
    <w:lvl w:ilvl="3" w:tplc="0427000F" w:tentative="1">
      <w:start w:val="1"/>
      <w:numFmt w:val="decimal"/>
      <w:lvlText w:val="%4."/>
      <w:lvlJc w:val="left"/>
      <w:pPr>
        <w:ind w:left="2687" w:hanging="360"/>
      </w:pPr>
    </w:lvl>
    <w:lvl w:ilvl="4" w:tplc="04270019" w:tentative="1">
      <w:start w:val="1"/>
      <w:numFmt w:val="lowerLetter"/>
      <w:lvlText w:val="%5."/>
      <w:lvlJc w:val="left"/>
      <w:pPr>
        <w:ind w:left="3407" w:hanging="360"/>
      </w:pPr>
    </w:lvl>
    <w:lvl w:ilvl="5" w:tplc="0427001B" w:tentative="1">
      <w:start w:val="1"/>
      <w:numFmt w:val="lowerRoman"/>
      <w:lvlText w:val="%6."/>
      <w:lvlJc w:val="right"/>
      <w:pPr>
        <w:ind w:left="4127" w:hanging="180"/>
      </w:pPr>
    </w:lvl>
    <w:lvl w:ilvl="6" w:tplc="0427000F" w:tentative="1">
      <w:start w:val="1"/>
      <w:numFmt w:val="decimal"/>
      <w:lvlText w:val="%7."/>
      <w:lvlJc w:val="left"/>
      <w:pPr>
        <w:ind w:left="4847" w:hanging="360"/>
      </w:pPr>
    </w:lvl>
    <w:lvl w:ilvl="7" w:tplc="04270019" w:tentative="1">
      <w:start w:val="1"/>
      <w:numFmt w:val="lowerLetter"/>
      <w:lvlText w:val="%8."/>
      <w:lvlJc w:val="left"/>
      <w:pPr>
        <w:ind w:left="5567" w:hanging="360"/>
      </w:pPr>
    </w:lvl>
    <w:lvl w:ilvl="8" w:tplc="042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 w15:restartNumberingAfterBreak="0">
    <w:nsid w:val="174D0E1B"/>
    <w:multiLevelType w:val="hybridMultilevel"/>
    <w:tmpl w:val="543AAEF6"/>
    <w:lvl w:ilvl="0" w:tplc="9C34F33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274" w:hanging="360"/>
      </w:pPr>
    </w:lvl>
    <w:lvl w:ilvl="2" w:tplc="0427001B">
      <w:start w:val="1"/>
      <w:numFmt w:val="lowerRoman"/>
      <w:lvlText w:val="%3."/>
      <w:lvlJc w:val="right"/>
      <w:pPr>
        <w:ind w:left="1994" w:hanging="180"/>
      </w:pPr>
    </w:lvl>
    <w:lvl w:ilvl="3" w:tplc="0427000F">
      <w:start w:val="1"/>
      <w:numFmt w:val="decimal"/>
      <w:lvlText w:val="%4."/>
      <w:lvlJc w:val="left"/>
      <w:pPr>
        <w:ind w:left="2714" w:hanging="360"/>
      </w:pPr>
    </w:lvl>
    <w:lvl w:ilvl="4" w:tplc="04270019">
      <w:start w:val="1"/>
      <w:numFmt w:val="lowerLetter"/>
      <w:lvlText w:val="%5."/>
      <w:lvlJc w:val="left"/>
      <w:pPr>
        <w:ind w:left="3434" w:hanging="360"/>
      </w:pPr>
    </w:lvl>
    <w:lvl w:ilvl="5" w:tplc="0427001B">
      <w:start w:val="1"/>
      <w:numFmt w:val="lowerRoman"/>
      <w:lvlText w:val="%6."/>
      <w:lvlJc w:val="right"/>
      <w:pPr>
        <w:ind w:left="4154" w:hanging="180"/>
      </w:pPr>
    </w:lvl>
    <w:lvl w:ilvl="6" w:tplc="0427000F">
      <w:start w:val="1"/>
      <w:numFmt w:val="decimal"/>
      <w:lvlText w:val="%7."/>
      <w:lvlJc w:val="left"/>
      <w:pPr>
        <w:ind w:left="4874" w:hanging="360"/>
      </w:pPr>
    </w:lvl>
    <w:lvl w:ilvl="7" w:tplc="04270019">
      <w:start w:val="1"/>
      <w:numFmt w:val="lowerLetter"/>
      <w:lvlText w:val="%8."/>
      <w:lvlJc w:val="left"/>
      <w:pPr>
        <w:ind w:left="5594" w:hanging="360"/>
      </w:pPr>
    </w:lvl>
    <w:lvl w:ilvl="8" w:tplc="0427001B">
      <w:start w:val="1"/>
      <w:numFmt w:val="lowerRoman"/>
      <w:lvlText w:val="%9."/>
      <w:lvlJc w:val="right"/>
      <w:pPr>
        <w:ind w:left="6314" w:hanging="180"/>
      </w:pPr>
    </w:lvl>
  </w:abstractNum>
  <w:abstractNum w:abstractNumId="2" w15:restartNumberingAfterBreak="0">
    <w:nsid w:val="5B174EBD"/>
    <w:multiLevelType w:val="multilevel"/>
    <w:tmpl w:val="5C860C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CE"/>
    <w:rsid w:val="000D4BFA"/>
    <w:rsid w:val="0018504A"/>
    <w:rsid w:val="00246F81"/>
    <w:rsid w:val="004D66D0"/>
    <w:rsid w:val="005B04C7"/>
    <w:rsid w:val="006F692B"/>
    <w:rsid w:val="00733ACE"/>
    <w:rsid w:val="008D77FA"/>
    <w:rsid w:val="0091139C"/>
    <w:rsid w:val="00A07269"/>
    <w:rsid w:val="00A11B5C"/>
    <w:rsid w:val="00A822C8"/>
    <w:rsid w:val="00B02301"/>
    <w:rsid w:val="00D8492C"/>
    <w:rsid w:val="00E15FFB"/>
    <w:rsid w:val="00EA4330"/>
    <w:rsid w:val="00EB3BD3"/>
    <w:rsid w:val="00F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2148"/>
  <w15:chartTrackingRefBased/>
  <w15:docId w15:val="{A3B956F9-B964-4010-A7E5-04AB2D9D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3A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33AC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33ACE"/>
    <w:pPr>
      <w:ind w:left="720"/>
      <w:contextualSpacing/>
    </w:pPr>
  </w:style>
  <w:style w:type="table" w:styleId="TableGrid">
    <w:name w:val="Table Grid"/>
    <w:basedOn w:val="TableNormal"/>
    <w:uiPriority w:val="39"/>
    <w:rsid w:val="00733A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A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C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33AC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33A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rail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rail.lt/viesuju-Pirkimu-dokument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tra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5135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11</cp:revision>
  <dcterms:created xsi:type="dcterms:W3CDTF">2019-06-20T13:17:00Z</dcterms:created>
  <dcterms:modified xsi:type="dcterms:W3CDTF">2019-07-23T07:09:00Z</dcterms:modified>
</cp:coreProperties>
</file>