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3B3C" w14:textId="21526C73" w:rsidR="00965258" w:rsidRDefault="00DD3CBB" w:rsidP="000371AF">
      <w:pPr>
        <w:jc w:val="center"/>
        <w:rPr>
          <w:rFonts w:cstheme="minorHAnsi"/>
          <w:b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                                                             </w:t>
      </w:r>
      <w:r w:rsidR="00EA206A">
        <w:rPr>
          <w:bCs/>
          <w:lang w:val="lt-LT"/>
        </w:rPr>
        <w:t xml:space="preserve">                           SPS 5</w:t>
      </w:r>
      <w:r w:rsidRPr="00755157">
        <w:rPr>
          <w:bCs/>
          <w:lang w:val="lt-LT"/>
        </w:rPr>
        <w:t xml:space="preserve"> priedas</w:t>
      </w:r>
    </w:p>
    <w:p w14:paraId="725C5548" w14:textId="0B28AA04" w:rsidR="00135CD4" w:rsidRPr="007B5908" w:rsidRDefault="00A734CA" w:rsidP="000371AF">
      <w:pPr>
        <w:jc w:val="center"/>
        <w:rPr>
          <w:rFonts w:cstheme="minorHAnsi"/>
          <w:b/>
          <w:lang w:val="lt-LT"/>
        </w:rPr>
      </w:pPr>
      <w:r w:rsidRPr="00A734CA">
        <w:rPr>
          <w:rFonts w:cstheme="minorHAnsi"/>
          <w:b/>
          <w:lang w:val="lt-LT"/>
        </w:rPr>
        <w:t xml:space="preserve">AKCINĖS BENDROVĖS </w:t>
      </w:r>
      <w:r w:rsidR="000371AF" w:rsidRPr="007B5908">
        <w:rPr>
          <w:rFonts w:cstheme="minorHAnsi"/>
          <w:b/>
          <w:lang w:val="lt-LT"/>
        </w:rPr>
        <w:t xml:space="preserve">„ORO NAVIGACIJA“ DARBUOTOJŲ PENSINIO DRAUDIMO SU GARANTUOTOMIS PALŪKANOMIS </w:t>
      </w:r>
      <w:r w:rsidR="00395599" w:rsidRPr="007B5908">
        <w:rPr>
          <w:rFonts w:cstheme="minorHAnsi"/>
          <w:b/>
          <w:lang w:val="lt-LT"/>
        </w:rPr>
        <w:t>GYVYBĖS DRAUDIMO PASLAUGŲ</w:t>
      </w:r>
      <w:r w:rsidR="00AF65F2">
        <w:rPr>
          <w:rFonts w:cstheme="minorHAnsi"/>
          <w:b/>
          <w:lang w:val="lt-LT"/>
        </w:rPr>
        <w:t xml:space="preserve"> </w:t>
      </w:r>
      <w:r w:rsidR="00AF65F2" w:rsidRPr="00CC1778">
        <w:rPr>
          <w:rFonts w:cstheme="minorHAnsi"/>
          <w:b/>
          <w:lang w:val="lt-LT"/>
        </w:rPr>
        <w:t>PIRKIMO</w:t>
      </w:r>
      <w:r w:rsidR="00395599" w:rsidRPr="007B5908">
        <w:rPr>
          <w:rFonts w:cstheme="minorHAnsi"/>
          <w:b/>
          <w:lang w:val="lt-LT"/>
        </w:rPr>
        <w:t xml:space="preserve"> </w:t>
      </w:r>
      <w:r w:rsidR="000371AF" w:rsidRPr="007B5908">
        <w:rPr>
          <w:rFonts w:cstheme="minorHAnsi"/>
          <w:b/>
          <w:lang w:val="lt-LT"/>
        </w:rPr>
        <w:t>TECHNINĖ</w:t>
      </w:r>
      <w:r w:rsidR="001C78A6">
        <w:rPr>
          <w:rFonts w:cstheme="minorHAnsi"/>
          <w:b/>
          <w:lang w:val="lt-LT"/>
        </w:rPr>
        <w:t xml:space="preserve"> SPECIFIKACIJA</w:t>
      </w:r>
    </w:p>
    <w:p w14:paraId="5B40A3B7" w14:textId="77777777" w:rsidR="000371AF" w:rsidRPr="00FB6635" w:rsidRDefault="000371AF" w:rsidP="000371AF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8671"/>
      </w:tblGrid>
      <w:tr w:rsidR="000371AF" w:rsidRPr="007B5908" w14:paraId="4F02E99B" w14:textId="77777777" w:rsidTr="00965258">
        <w:tc>
          <w:tcPr>
            <w:tcW w:w="988" w:type="dxa"/>
          </w:tcPr>
          <w:p w14:paraId="59D5875C" w14:textId="77777777" w:rsidR="000371AF" w:rsidRPr="007B5908" w:rsidRDefault="000371AF" w:rsidP="000371AF">
            <w:pPr>
              <w:jc w:val="both"/>
              <w:rPr>
                <w:rFonts w:cstheme="minorHAnsi"/>
                <w:b/>
                <w:lang w:val="lt-LT"/>
              </w:rPr>
            </w:pPr>
            <w:r w:rsidRPr="007B5908">
              <w:rPr>
                <w:rFonts w:cstheme="minorHAnsi"/>
                <w:b/>
                <w:lang w:val="lt-LT"/>
              </w:rPr>
              <w:t>1.</w:t>
            </w:r>
          </w:p>
        </w:tc>
        <w:tc>
          <w:tcPr>
            <w:tcW w:w="8974" w:type="dxa"/>
          </w:tcPr>
          <w:p w14:paraId="6FB6B321" w14:textId="77777777" w:rsidR="000371AF" w:rsidRPr="007B5908" w:rsidRDefault="000371AF" w:rsidP="000371AF">
            <w:pPr>
              <w:jc w:val="both"/>
              <w:rPr>
                <w:rFonts w:cstheme="minorHAnsi"/>
                <w:b/>
                <w:lang w:val="lt-LT"/>
              </w:rPr>
            </w:pPr>
            <w:r w:rsidRPr="007B5908">
              <w:rPr>
                <w:rFonts w:cstheme="minorHAnsi"/>
                <w:b/>
                <w:lang w:val="lt-LT"/>
              </w:rPr>
              <w:t>SĄVOKOS IR SUTRUMPINIMAI</w:t>
            </w:r>
          </w:p>
        </w:tc>
      </w:tr>
      <w:tr w:rsidR="000371AF" w:rsidRPr="00CC1778" w14:paraId="2392A146" w14:textId="77777777" w:rsidTr="00965258">
        <w:tc>
          <w:tcPr>
            <w:tcW w:w="988" w:type="dxa"/>
          </w:tcPr>
          <w:p w14:paraId="3DC8B973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1.1.</w:t>
            </w:r>
          </w:p>
        </w:tc>
        <w:tc>
          <w:tcPr>
            <w:tcW w:w="8974" w:type="dxa"/>
          </w:tcPr>
          <w:p w14:paraId="587F37F5" w14:textId="59FFA197" w:rsidR="000371AF" w:rsidRPr="007B5908" w:rsidRDefault="000371AF" w:rsidP="00D92D67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 xml:space="preserve">Perkančioji organizacija – </w:t>
            </w:r>
            <w:r w:rsidR="00A734CA" w:rsidRPr="00A734CA">
              <w:rPr>
                <w:rFonts w:cstheme="minorHAnsi"/>
                <w:lang w:val="lt-LT"/>
              </w:rPr>
              <w:t xml:space="preserve">akcinė bendrovė </w:t>
            </w:r>
            <w:r w:rsidRPr="007B5908">
              <w:rPr>
                <w:rFonts w:cstheme="minorHAnsi"/>
                <w:lang w:val="lt-LT"/>
              </w:rPr>
              <w:t xml:space="preserve">„Oro navigacija“, </w:t>
            </w:r>
            <w:r w:rsidR="00D92D67">
              <w:rPr>
                <w:rFonts w:cstheme="minorHAnsi"/>
                <w:lang w:val="lt-LT"/>
              </w:rPr>
              <w:t>Balio Karvelio g. 25, Vilnius</w:t>
            </w:r>
          </w:p>
        </w:tc>
      </w:tr>
      <w:tr w:rsidR="000371AF" w:rsidRPr="00CC1778" w14:paraId="179450D0" w14:textId="77777777" w:rsidTr="00965258">
        <w:tc>
          <w:tcPr>
            <w:tcW w:w="988" w:type="dxa"/>
          </w:tcPr>
          <w:p w14:paraId="4B41CA27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1.2.</w:t>
            </w:r>
          </w:p>
        </w:tc>
        <w:tc>
          <w:tcPr>
            <w:tcW w:w="8974" w:type="dxa"/>
          </w:tcPr>
          <w:p w14:paraId="35F51E33" w14:textId="77777777" w:rsidR="000371AF" w:rsidRPr="007B5908" w:rsidRDefault="000371AF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Paslaugos teikėjas  – ūkio subjektas – fizinis asmuo, privatusis juridinis asmuo, viešasis juridinis asmuo, kitos organizacijos ir jų padaliniai ar tokių asmenų grupė, su kuriuo Perkančioji organizacija sudaro sutartį.</w:t>
            </w:r>
          </w:p>
        </w:tc>
      </w:tr>
      <w:tr w:rsidR="000371AF" w:rsidRPr="00CC1778" w14:paraId="7F28DC83" w14:textId="77777777" w:rsidTr="00965258">
        <w:tc>
          <w:tcPr>
            <w:tcW w:w="988" w:type="dxa"/>
          </w:tcPr>
          <w:p w14:paraId="2FECFD93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1.3.</w:t>
            </w:r>
          </w:p>
        </w:tc>
        <w:tc>
          <w:tcPr>
            <w:tcW w:w="8974" w:type="dxa"/>
          </w:tcPr>
          <w:p w14:paraId="31C8CB37" w14:textId="77777777" w:rsidR="000371AF" w:rsidRPr="007B5908" w:rsidRDefault="000371AF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Sutartis – Sutartis sudaroma tarp Paslaugos teikėjo ir Perkančiosios organizacijos dėl Perkančiosios organizacijos darbuotojų pensinio draudimo</w:t>
            </w:r>
            <w:r w:rsidR="00395599" w:rsidRPr="007B5908">
              <w:rPr>
                <w:rFonts w:cstheme="minorHAnsi"/>
                <w:lang w:val="lt-LT"/>
              </w:rPr>
              <w:t xml:space="preserve"> su garantuotomis palūkanomis gyvybės draudimo paslaugos</w:t>
            </w:r>
            <w:r w:rsidRPr="007B5908">
              <w:rPr>
                <w:rFonts w:cstheme="minorHAnsi"/>
                <w:lang w:val="lt-LT"/>
              </w:rPr>
              <w:t>.</w:t>
            </w:r>
          </w:p>
        </w:tc>
      </w:tr>
      <w:tr w:rsidR="000371AF" w:rsidRPr="007B5908" w14:paraId="1B910CDB" w14:textId="77777777" w:rsidTr="00965258">
        <w:tc>
          <w:tcPr>
            <w:tcW w:w="988" w:type="dxa"/>
          </w:tcPr>
          <w:p w14:paraId="5DA07E21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1.4.</w:t>
            </w:r>
          </w:p>
        </w:tc>
        <w:tc>
          <w:tcPr>
            <w:tcW w:w="8974" w:type="dxa"/>
          </w:tcPr>
          <w:p w14:paraId="7113B198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Apdraustasis – Sutartyje nurodytas fizinis asmuo – darbo santykiais susijęs su Draudėju, kurio gyvenime atsitikus draudžiamajam įvykiui Draudikas privalo mokėti išmoką. Sutartimi apdrausti Asmenys susiję darbo santykiais su Draudėju (toliau - Apdraustieji).</w:t>
            </w:r>
          </w:p>
        </w:tc>
      </w:tr>
      <w:tr w:rsidR="000371AF" w:rsidRPr="007B5908" w14:paraId="2C6C3103" w14:textId="77777777" w:rsidTr="00965258">
        <w:tc>
          <w:tcPr>
            <w:tcW w:w="988" w:type="dxa"/>
          </w:tcPr>
          <w:p w14:paraId="26A6F21F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1.5.</w:t>
            </w:r>
          </w:p>
        </w:tc>
        <w:tc>
          <w:tcPr>
            <w:tcW w:w="8974" w:type="dxa"/>
          </w:tcPr>
          <w:p w14:paraId="6DA34A74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Draudėjas –  Perkančioji organizacija.</w:t>
            </w:r>
          </w:p>
        </w:tc>
      </w:tr>
      <w:tr w:rsidR="000371AF" w:rsidRPr="00CC1778" w14:paraId="5994E6E5" w14:textId="77777777" w:rsidTr="00965258">
        <w:tc>
          <w:tcPr>
            <w:tcW w:w="988" w:type="dxa"/>
          </w:tcPr>
          <w:p w14:paraId="4DA11715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1.6.</w:t>
            </w:r>
          </w:p>
        </w:tc>
        <w:tc>
          <w:tcPr>
            <w:tcW w:w="8974" w:type="dxa"/>
          </w:tcPr>
          <w:p w14:paraId="37FF560C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Draudikas – asmuo teisės aktų nustatyta tvarka turintis teisę užsiimti draudimo veikla.</w:t>
            </w:r>
          </w:p>
        </w:tc>
      </w:tr>
      <w:tr w:rsidR="000371AF" w:rsidRPr="007B5908" w14:paraId="5921CFE5" w14:textId="77777777" w:rsidTr="00965258">
        <w:tc>
          <w:tcPr>
            <w:tcW w:w="988" w:type="dxa"/>
          </w:tcPr>
          <w:p w14:paraId="406AC58B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1.7.</w:t>
            </w:r>
          </w:p>
        </w:tc>
        <w:tc>
          <w:tcPr>
            <w:tcW w:w="8974" w:type="dxa"/>
          </w:tcPr>
          <w:p w14:paraId="5B2943FB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Draudimo liudijimas – Draudiko išduodamas dokumentas, patvirtinantis Sutarties sudarymą.</w:t>
            </w:r>
          </w:p>
        </w:tc>
      </w:tr>
      <w:tr w:rsidR="000371AF" w:rsidRPr="0058655D" w14:paraId="6630C6C9" w14:textId="77777777" w:rsidTr="00965258">
        <w:tc>
          <w:tcPr>
            <w:tcW w:w="988" w:type="dxa"/>
          </w:tcPr>
          <w:p w14:paraId="01316A9F" w14:textId="77777777" w:rsidR="000371AF" w:rsidRPr="007B5908" w:rsidRDefault="002E75DB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1.8.</w:t>
            </w:r>
          </w:p>
        </w:tc>
        <w:tc>
          <w:tcPr>
            <w:tcW w:w="8974" w:type="dxa"/>
          </w:tcPr>
          <w:p w14:paraId="5FD414DA" w14:textId="741F3FD5" w:rsidR="000371AF" w:rsidRPr="007B5908" w:rsidRDefault="000371AF" w:rsidP="00B93321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Draudimo suma – Sutartyje nurodyta pinigų suma arba pinigų suma, apskaičiuo</w:t>
            </w:r>
            <w:r w:rsidR="00B93321">
              <w:rPr>
                <w:rFonts w:cstheme="minorHAnsi"/>
                <w:lang w:val="lt-LT"/>
              </w:rPr>
              <w:t>jama Sutartyje nustatyta tvarka</w:t>
            </w:r>
            <w:r w:rsidRPr="007B5908">
              <w:rPr>
                <w:rFonts w:cstheme="minorHAnsi"/>
                <w:lang w:val="lt-LT"/>
              </w:rPr>
              <w:t>.</w:t>
            </w:r>
          </w:p>
        </w:tc>
      </w:tr>
      <w:tr w:rsidR="000371AF" w:rsidRPr="00CC1778" w14:paraId="404A722D" w14:textId="77777777" w:rsidTr="00965258">
        <w:tc>
          <w:tcPr>
            <w:tcW w:w="988" w:type="dxa"/>
          </w:tcPr>
          <w:p w14:paraId="5E6DBFFF" w14:textId="2B5DA73D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1.9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336B8E9A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Draudimo apsauga – Draudiko įsipareigojimas įvykus draudžiamajam įvykiui mokėti draudimo išmoką.</w:t>
            </w:r>
          </w:p>
        </w:tc>
      </w:tr>
      <w:tr w:rsidR="000371AF" w:rsidRPr="00CC1778" w14:paraId="523436E1" w14:textId="77777777" w:rsidTr="00965258">
        <w:tc>
          <w:tcPr>
            <w:tcW w:w="988" w:type="dxa"/>
          </w:tcPr>
          <w:p w14:paraId="030B0616" w14:textId="05B1EEDC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1.10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58F53662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Draudžiamasis įvykis – Sutartyje nurodytas atsitikimas, kuriam įvykus Draudikas privalo mokėti draudimo išmoką.</w:t>
            </w:r>
          </w:p>
        </w:tc>
      </w:tr>
      <w:tr w:rsidR="000371AF" w:rsidRPr="00CC1778" w14:paraId="63FECF02" w14:textId="77777777" w:rsidTr="00965258">
        <w:tc>
          <w:tcPr>
            <w:tcW w:w="988" w:type="dxa"/>
          </w:tcPr>
          <w:p w14:paraId="382A2816" w14:textId="0D66BDD0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1.11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44509F5F" w14:textId="77777777" w:rsidR="000371AF" w:rsidRPr="007B5908" w:rsidRDefault="000371AF" w:rsidP="000371AF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Nedraudžiamasis įvykis – Sutartyje nurodytas atsitikimas, kuriam įvykus Draudikas neprivalo mokėti draudimo išmokos.</w:t>
            </w:r>
          </w:p>
        </w:tc>
      </w:tr>
      <w:tr w:rsidR="000371AF" w:rsidRPr="00CC1778" w14:paraId="7A008E5F" w14:textId="77777777" w:rsidTr="00965258">
        <w:tc>
          <w:tcPr>
            <w:tcW w:w="988" w:type="dxa"/>
          </w:tcPr>
          <w:p w14:paraId="41587537" w14:textId="2DE62AE8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1.12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799591A0" w14:textId="77777777" w:rsidR="000371AF" w:rsidRPr="007B5908" w:rsidRDefault="000371AF" w:rsidP="000371AF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Draudimo išmoka – pinigų suma, kurią įvykus draudžiamajam įvykiui Draudikas privalo išmokėti Apdraustajam ar kitam asmeniui, turinčiam teisę į draudimo išmoką.</w:t>
            </w:r>
          </w:p>
        </w:tc>
      </w:tr>
      <w:tr w:rsidR="000371AF" w:rsidRPr="0058655D" w14:paraId="27718060" w14:textId="77777777" w:rsidTr="00965258">
        <w:tc>
          <w:tcPr>
            <w:tcW w:w="988" w:type="dxa"/>
          </w:tcPr>
          <w:p w14:paraId="0262DE68" w14:textId="7245D829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1.13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25FAF40E" w14:textId="21391FF3" w:rsidR="000371AF" w:rsidRPr="007B5908" w:rsidRDefault="000371AF" w:rsidP="00637798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 xml:space="preserve">Garantuotos palūkanos – Draudiko nustatytos ir draudimo polise nurodytos palūkanos, kurias Draudikas įsipareigoja sumokėti už visą sutarties galiojimo laikotarpį. Garantuotų palūkanų suma jokiais atvejais negali būti </w:t>
            </w:r>
            <w:r w:rsidR="00637798">
              <w:rPr>
                <w:rFonts w:cstheme="minorHAnsi"/>
                <w:lang w:val="lt-LT"/>
              </w:rPr>
              <w:t xml:space="preserve">mažinama </w:t>
            </w:r>
            <w:r w:rsidRPr="007B5908">
              <w:rPr>
                <w:rFonts w:cstheme="minorHAnsi"/>
                <w:lang w:val="lt-LT"/>
              </w:rPr>
              <w:t>sutarties galiojimo laikotarpiu</w:t>
            </w:r>
            <w:r w:rsidR="00F938C3">
              <w:rPr>
                <w:rFonts w:cstheme="minorHAnsi"/>
                <w:lang w:val="lt-LT"/>
              </w:rPr>
              <w:t xml:space="preserve"> (didinama gali būti)</w:t>
            </w:r>
            <w:r w:rsidRPr="007B5908">
              <w:rPr>
                <w:rFonts w:cstheme="minorHAnsi"/>
                <w:lang w:val="lt-LT"/>
              </w:rPr>
              <w:t>.</w:t>
            </w:r>
          </w:p>
        </w:tc>
      </w:tr>
      <w:tr w:rsidR="000371AF" w:rsidRPr="007B5908" w14:paraId="385C05A1" w14:textId="77777777" w:rsidTr="00965258">
        <w:tc>
          <w:tcPr>
            <w:tcW w:w="988" w:type="dxa"/>
          </w:tcPr>
          <w:p w14:paraId="4856B1B3" w14:textId="3D7373FB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1.14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40EBFD2A" w14:textId="332E4F0F" w:rsidR="000371AF" w:rsidRPr="007B5908" w:rsidRDefault="002E75DB" w:rsidP="002E75DB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 w:rsidRPr="00FB6635">
              <w:rPr>
                <w:lang w:val="lt-LT"/>
              </w:rPr>
              <w:t>Išperkamoji suma – sukauptos</w:t>
            </w:r>
            <w:r w:rsidRPr="007B5908">
              <w:rPr>
                <w:lang w:val="lt-LT"/>
              </w:rPr>
              <w:t xml:space="preserve"> sumos dalis, kuri išmokama sutarties nutraukimo arba dalinio pinigų atsiėmimo atveju. Išperkamoji suma apskaičiuojama pagal Draudiko galiojančias </w:t>
            </w:r>
            <w:proofErr w:type="spellStart"/>
            <w:r w:rsidR="00DE42C9">
              <w:t>aktuarines</w:t>
            </w:r>
            <w:proofErr w:type="spellEnd"/>
            <w:r w:rsidR="00DE42C9" w:rsidRPr="007B5908">
              <w:rPr>
                <w:lang w:val="lt-LT"/>
              </w:rPr>
              <w:t xml:space="preserve"> </w:t>
            </w:r>
            <w:r w:rsidRPr="007B5908">
              <w:rPr>
                <w:lang w:val="lt-LT"/>
              </w:rPr>
              <w:t xml:space="preserve"> taisykles ir numatytas Sutarties sąlygas.</w:t>
            </w:r>
          </w:p>
        </w:tc>
      </w:tr>
      <w:tr w:rsidR="000371AF" w:rsidRPr="00CC1778" w14:paraId="30E8A32D" w14:textId="77777777" w:rsidTr="00965258">
        <w:tc>
          <w:tcPr>
            <w:tcW w:w="988" w:type="dxa"/>
          </w:tcPr>
          <w:p w14:paraId="3D50D55E" w14:textId="3121A0C3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1.15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611655DB" w14:textId="77777777" w:rsidR="000371AF" w:rsidRPr="007B5908" w:rsidRDefault="002E75DB" w:rsidP="002E75DB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 xml:space="preserve">Naudos gavėjas – Sutartyje nurodytas Draudėjo, o Sutartyje nustatytais atvejais ir Apdraustojo, paskirtas fizinis arba juridinis asmuo, kuris įgyja teisę į Draudimo išmoką arba jos dalį įvykus Draudžiamajam įvykiui Sutartyje nustatyta tvarka ir terminais. </w:t>
            </w:r>
          </w:p>
        </w:tc>
      </w:tr>
      <w:tr w:rsidR="000371AF" w:rsidRPr="00CC1778" w14:paraId="6318E73B" w14:textId="77777777" w:rsidTr="00965258">
        <w:tc>
          <w:tcPr>
            <w:tcW w:w="988" w:type="dxa"/>
          </w:tcPr>
          <w:p w14:paraId="67C8CF69" w14:textId="12D2A873" w:rsidR="000371AF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1.16</w:t>
            </w:r>
            <w:r w:rsidR="002E75DB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1DC9D5B9" w14:textId="77777777" w:rsidR="000371AF" w:rsidRPr="007B5908" w:rsidRDefault="002E75DB" w:rsidP="002E75DB">
            <w:pPr>
              <w:tabs>
                <w:tab w:val="left" w:pos="0"/>
                <w:tab w:val="left" w:pos="567"/>
              </w:tabs>
              <w:jc w:val="both"/>
              <w:rPr>
                <w:rFonts w:cstheme="minorHAnsi"/>
                <w:lang w:val="lt-LT"/>
              </w:rPr>
            </w:pPr>
            <w:r w:rsidRPr="007B5908">
              <w:rPr>
                <w:lang w:val="lt-LT"/>
              </w:rPr>
              <w:t xml:space="preserve">Sukaupta suma – konkrečios Sutarties piniginė vertė, kuri konkrečiu momentu apskaičiuojama pagal Sutarties sąlygas ir atitinkamas Draudiko galiojančias </w:t>
            </w:r>
            <w:r w:rsidR="00395599" w:rsidRPr="007B5908">
              <w:rPr>
                <w:lang w:val="lt-LT"/>
              </w:rPr>
              <w:t>aktua</w:t>
            </w:r>
            <w:r w:rsidRPr="007B5908">
              <w:rPr>
                <w:lang w:val="lt-LT"/>
              </w:rPr>
              <w:t>lias taisykles.</w:t>
            </w:r>
          </w:p>
        </w:tc>
      </w:tr>
      <w:tr w:rsidR="00395599" w:rsidRPr="00CC1778" w14:paraId="463DCD29" w14:textId="77777777" w:rsidTr="008C298A">
        <w:trPr>
          <w:trHeight w:val="824"/>
        </w:trPr>
        <w:tc>
          <w:tcPr>
            <w:tcW w:w="988" w:type="dxa"/>
          </w:tcPr>
          <w:p w14:paraId="4D6BB825" w14:textId="57BDBE7A" w:rsidR="00395599" w:rsidRPr="007B5908" w:rsidRDefault="006030E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1.17</w:t>
            </w:r>
            <w:r w:rsidR="00395599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38844AFE" w14:textId="127D8F8B" w:rsidR="00395599" w:rsidRPr="007B5908" w:rsidRDefault="00B93321" w:rsidP="00B93321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Periodinė </w:t>
            </w:r>
            <w:r w:rsidR="00395599" w:rsidRPr="007B5908">
              <w:rPr>
                <w:lang w:val="lt-LT"/>
              </w:rPr>
              <w:t>draudimo įmoka – Draudėjo nustatoma konkreti pinigų suma, skiriama numatytais periodiš</w:t>
            </w:r>
            <w:r>
              <w:rPr>
                <w:lang w:val="lt-LT"/>
              </w:rPr>
              <w:t>kumais už kiekvieną Apdraustąjį,</w:t>
            </w:r>
            <w:r w:rsidRPr="00B93321">
              <w:rPr>
                <w:rFonts w:cstheme="minorHAnsi"/>
                <w:lang w:val="lt-LT"/>
              </w:rPr>
              <w:t xml:space="preserve"> </w:t>
            </w:r>
            <w:r w:rsidRPr="00B93321">
              <w:rPr>
                <w:lang w:val="lt-LT"/>
              </w:rPr>
              <w:t>kurią Draudėjas sumoka Draudikui.</w:t>
            </w:r>
          </w:p>
        </w:tc>
      </w:tr>
      <w:tr w:rsidR="00395599" w:rsidRPr="007B5908" w14:paraId="42EC4301" w14:textId="77777777" w:rsidTr="00965258">
        <w:tc>
          <w:tcPr>
            <w:tcW w:w="988" w:type="dxa"/>
          </w:tcPr>
          <w:p w14:paraId="4BF48465" w14:textId="77777777" w:rsidR="00395599" w:rsidRPr="007B5908" w:rsidRDefault="00395599" w:rsidP="000371AF">
            <w:pPr>
              <w:jc w:val="both"/>
              <w:rPr>
                <w:rFonts w:cstheme="minorHAnsi"/>
                <w:b/>
                <w:lang w:val="lt-LT"/>
              </w:rPr>
            </w:pPr>
            <w:r w:rsidRPr="007B5908">
              <w:rPr>
                <w:rFonts w:cstheme="minorHAnsi"/>
                <w:b/>
                <w:lang w:val="lt-LT"/>
              </w:rPr>
              <w:t xml:space="preserve">2. </w:t>
            </w:r>
          </w:p>
        </w:tc>
        <w:tc>
          <w:tcPr>
            <w:tcW w:w="8974" w:type="dxa"/>
          </w:tcPr>
          <w:p w14:paraId="7E88031C" w14:textId="0826E1C1" w:rsidR="00395599" w:rsidRPr="007B5908" w:rsidRDefault="00780D77" w:rsidP="00395599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</w:t>
            </w:r>
            <w:r w:rsidR="00395599" w:rsidRPr="007B5908">
              <w:rPr>
                <w:b/>
                <w:lang w:val="lt-LT"/>
              </w:rPr>
              <w:t xml:space="preserve"> OBJEKTAS</w:t>
            </w:r>
          </w:p>
        </w:tc>
      </w:tr>
      <w:tr w:rsidR="00395599" w:rsidRPr="007B5908" w14:paraId="7C73DD2B" w14:textId="77777777" w:rsidTr="00965258">
        <w:trPr>
          <w:trHeight w:val="411"/>
        </w:trPr>
        <w:tc>
          <w:tcPr>
            <w:tcW w:w="988" w:type="dxa"/>
          </w:tcPr>
          <w:p w14:paraId="7CD364B0" w14:textId="77777777" w:rsidR="00395599" w:rsidRPr="007B5908" w:rsidRDefault="00775ECD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2.1.</w:t>
            </w:r>
          </w:p>
        </w:tc>
        <w:tc>
          <w:tcPr>
            <w:tcW w:w="8974" w:type="dxa"/>
          </w:tcPr>
          <w:p w14:paraId="54CAA048" w14:textId="2F32FBC2" w:rsidR="00395599" w:rsidRPr="007B5908" w:rsidRDefault="00780D77" w:rsidP="0074424E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Pirk</w:t>
            </w:r>
            <w:r w:rsidR="006030EA">
              <w:rPr>
                <w:lang w:val="lt-LT"/>
              </w:rPr>
              <w:t>imo objektas – pensinio draudimo</w:t>
            </w:r>
            <w:r w:rsidR="00395599" w:rsidRPr="007B5908">
              <w:rPr>
                <w:lang w:val="lt-LT"/>
              </w:rPr>
              <w:t xml:space="preserve"> su garantuotomis palūkanomis</w:t>
            </w:r>
            <w:r w:rsidR="006030EA">
              <w:rPr>
                <w:lang w:val="lt-LT"/>
              </w:rPr>
              <w:t xml:space="preserve"> gyvybės draudimo paslaugos</w:t>
            </w:r>
            <w:r w:rsidR="00395599" w:rsidRPr="007B5908">
              <w:rPr>
                <w:lang w:val="lt-LT"/>
              </w:rPr>
              <w:t>.</w:t>
            </w:r>
            <w:r w:rsidR="0074424E">
              <w:rPr>
                <w:lang w:val="lt-LT"/>
              </w:rPr>
              <w:t xml:space="preserve"> </w:t>
            </w:r>
          </w:p>
        </w:tc>
      </w:tr>
      <w:tr w:rsidR="00395599" w:rsidRPr="007B5908" w14:paraId="51159FD5" w14:textId="77777777" w:rsidTr="00965258">
        <w:trPr>
          <w:trHeight w:val="2703"/>
        </w:trPr>
        <w:tc>
          <w:tcPr>
            <w:tcW w:w="988" w:type="dxa"/>
          </w:tcPr>
          <w:p w14:paraId="03F8B3DC" w14:textId="77777777" w:rsidR="00395599" w:rsidRPr="007B5908" w:rsidRDefault="00775ECD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lastRenderedPageBreak/>
              <w:t>2.2.</w:t>
            </w:r>
          </w:p>
        </w:tc>
        <w:tc>
          <w:tcPr>
            <w:tcW w:w="8974" w:type="dxa"/>
          </w:tcPr>
          <w:p w14:paraId="08EB4B75" w14:textId="6730AFA1" w:rsidR="00775ECD" w:rsidRPr="007B5908" w:rsidRDefault="00395599" w:rsidP="003869E1">
            <w:pPr>
              <w:tabs>
                <w:tab w:val="left" w:pos="0"/>
                <w:tab w:val="left" w:pos="567"/>
                <w:tab w:val="left" w:pos="709"/>
              </w:tabs>
              <w:spacing w:after="120"/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 xml:space="preserve">Pensiniu draudimu su garantuotomis palūkanomis draudžiami </w:t>
            </w:r>
            <w:r w:rsidR="0033782B">
              <w:rPr>
                <w:lang w:val="lt-LT"/>
              </w:rPr>
              <w:t>Draudėjo</w:t>
            </w:r>
            <w:r w:rsidR="0033782B" w:rsidRPr="0033782B">
              <w:rPr>
                <w:lang w:val="lt-LT"/>
              </w:rPr>
              <w:t xml:space="preserve"> </w:t>
            </w:r>
            <w:r w:rsidRPr="007B5908">
              <w:rPr>
                <w:lang w:val="lt-LT"/>
              </w:rPr>
              <w:t xml:space="preserve">darbuotojai pagal </w:t>
            </w:r>
            <w:r w:rsidR="0033782B">
              <w:rPr>
                <w:lang w:val="lt-LT"/>
              </w:rPr>
              <w:t>Draudėjo</w:t>
            </w:r>
            <w:r w:rsidR="0033782B" w:rsidRPr="0033782B">
              <w:rPr>
                <w:lang w:val="lt-LT"/>
              </w:rPr>
              <w:t xml:space="preserve"> </w:t>
            </w:r>
            <w:r w:rsidRPr="007B5908">
              <w:rPr>
                <w:lang w:val="lt-LT"/>
              </w:rPr>
              <w:t>pateiktus duomenis: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1295"/>
              <w:gridCol w:w="1686"/>
              <w:gridCol w:w="2006"/>
              <w:gridCol w:w="1892"/>
            </w:tblGrid>
            <w:tr w:rsidR="00775ECD" w:rsidRPr="007B5908" w14:paraId="18A1AF96" w14:textId="77777777" w:rsidTr="003869E1">
              <w:tc>
                <w:tcPr>
                  <w:tcW w:w="708" w:type="dxa"/>
                </w:tcPr>
                <w:p w14:paraId="45BA6ACC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 xml:space="preserve">Eilės Nr. </w:t>
                  </w:r>
                </w:p>
              </w:tc>
              <w:tc>
                <w:tcPr>
                  <w:tcW w:w="1295" w:type="dxa"/>
                </w:tcPr>
                <w:p w14:paraId="1B9FDCCB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Vardas, pavardė</w:t>
                  </w:r>
                </w:p>
              </w:tc>
              <w:tc>
                <w:tcPr>
                  <w:tcW w:w="1686" w:type="dxa"/>
                </w:tcPr>
                <w:p w14:paraId="5EE61290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Asmens kodas</w:t>
                  </w:r>
                </w:p>
              </w:tc>
              <w:tc>
                <w:tcPr>
                  <w:tcW w:w="2006" w:type="dxa"/>
                </w:tcPr>
                <w:p w14:paraId="3B630EB5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Kontaktiniai duomenys (tel. Nr. ar el. pašto adresas)</w:t>
                  </w:r>
                </w:p>
              </w:tc>
              <w:tc>
                <w:tcPr>
                  <w:tcW w:w="1892" w:type="dxa"/>
                </w:tcPr>
                <w:p w14:paraId="6237FAE9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Draudimo pradžia</w:t>
                  </w:r>
                </w:p>
              </w:tc>
            </w:tr>
            <w:tr w:rsidR="00775ECD" w:rsidRPr="007B5908" w14:paraId="13716306" w14:textId="77777777" w:rsidTr="003869E1">
              <w:tc>
                <w:tcPr>
                  <w:tcW w:w="708" w:type="dxa"/>
                </w:tcPr>
                <w:p w14:paraId="0DD9D966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1.</w:t>
                  </w:r>
                </w:p>
              </w:tc>
              <w:tc>
                <w:tcPr>
                  <w:tcW w:w="1295" w:type="dxa"/>
                </w:tcPr>
                <w:p w14:paraId="7975D19A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V. P.</w:t>
                  </w:r>
                </w:p>
              </w:tc>
              <w:tc>
                <w:tcPr>
                  <w:tcW w:w="1686" w:type="dxa"/>
                </w:tcPr>
                <w:p w14:paraId="37F6FFF3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a. k. 0000000000</w:t>
                  </w:r>
                </w:p>
              </w:tc>
              <w:tc>
                <w:tcPr>
                  <w:tcW w:w="2006" w:type="dxa"/>
                </w:tcPr>
                <w:p w14:paraId="19C5E2A0" w14:textId="77777777" w:rsidR="00775ECD" w:rsidRPr="007B5908" w:rsidRDefault="00000000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hyperlink r:id="rId6" w:history="1">
                    <w:r w:rsidR="00775ECD" w:rsidRPr="007B5908">
                      <w:rPr>
                        <w:rStyle w:val="Hyperlink"/>
                        <w:lang w:val="lt-LT"/>
                      </w:rPr>
                      <w:t>v.p@gmail.com</w:t>
                    </w:r>
                  </w:hyperlink>
                </w:p>
                <w:p w14:paraId="5793C354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+370 00 00 0000</w:t>
                  </w:r>
                </w:p>
              </w:tc>
              <w:tc>
                <w:tcPr>
                  <w:tcW w:w="1892" w:type="dxa"/>
                </w:tcPr>
                <w:p w14:paraId="5AB957FD" w14:textId="240F3150" w:rsidR="00775ECD" w:rsidRPr="007B5908" w:rsidRDefault="005215F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Nuo 202_ m. ____ __</w:t>
                  </w:r>
                  <w:r w:rsidR="00775ECD" w:rsidRPr="007B5908">
                    <w:rPr>
                      <w:lang w:val="lt-LT"/>
                    </w:rPr>
                    <w:t xml:space="preserve"> d.</w:t>
                  </w:r>
                </w:p>
              </w:tc>
            </w:tr>
            <w:tr w:rsidR="00775ECD" w:rsidRPr="007B5908" w14:paraId="52396283" w14:textId="77777777" w:rsidTr="003869E1">
              <w:tc>
                <w:tcPr>
                  <w:tcW w:w="708" w:type="dxa"/>
                </w:tcPr>
                <w:p w14:paraId="7FF0960C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2.</w:t>
                  </w:r>
                </w:p>
              </w:tc>
              <w:tc>
                <w:tcPr>
                  <w:tcW w:w="1295" w:type="dxa"/>
                </w:tcPr>
                <w:p w14:paraId="4BB94564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P. V.</w:t>
                  </w:r>
                </w:p>
              </w:tc>
              <w:tc>
                <w:tcPr>
                  <w:tcW w:w="1686" w:type="dxa"/>
                </w:tcPr>
                <w:p w14:paraId="1DA7F10F" w14:textId="77777777" w:rsidR="00775ECD" w:rsidRPr="007B5908" w:rsidRDefault="00775EC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a.</w:t>
                  </w:r>
                  <w:r w:rsidR="00386042" w:rsidRPr="007B5908">
                    <w:rPr>
                      <w:lang w:val="lt-LT"/>
                    </w:rPr>
                    <w:t xml:space="preserve"> </w:t>
                  </w:r>
                  <w:r w:rsidRPr="007B5908">
                    <w:rPr>
                      <w:lang w:val="lt-LT"/>
                    </w:rPr>
                    <w:t>k. 0000000001</w:t>
                  </w:r>
                </w:p>
              </w:tc>
              <w:tc>
                <w:tcPr>
                  <w:tcW w:w="2006" w:type="dxa"/>
                </w:tcPr>
                <w:p w14:paraId="4ED79D39" w14:textId="77777777" w:rsidR="00775ECD" w:rsidRPr="007B5908" w:rsidRDefault="00000000" w:rsidP="00775ECD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hyperlink r:id="rId7" w:history="1">
                    <w:r w:rsidR="00775ECD" w:rsidRPr="007B5908">
                      <w:rPr>
                        <w:rStyle w:val="Hyperlink"/>
                        <w:lang w:val="lt-LT"/>
                      </w:rPr>
                      <w:t>p. v@gmail.com</w:t>
                    </w:r>
                  </w:hyperlink>
                </w:p>
                <w:p w14:paraId="40B76634" w14:textId="77777777" w:rsidR="00775ECD" w:rsidRPr="007B5908" w:rsidRDefault="00775ECD" w:rsidP="00775ECD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 w:rsidRPr="007B5908">
                    <w:rPr>
                      <w:lang w:val="lt-LT"/>
                    </w:rPr>
                    <w:t>+370 00 00 0001</w:t>
                  </w:r>
                </w:p>
              </w:tc>
              <w:tc>
                <w:tcPr>
                  <w:tcW w:w="1892" w:type="dxa"/>
                </w:tcPr>
                <w:p w14:paraId="56D8B234" w14:textId="0AA50D3E" w:rsidR="00775ECD" w:rsidRPr="007B5908" w:rsidRDefault="005215FD" w:rsidP="00395599">
                  <w:pPr>
                    <w:tabs>
                      <w:tab w:val="left" w:pos="0"/>
                      <w:tab w:val="left" w:pos="567"/>
                      <w:tab w:val="left" w:pos="709"/>
                    </w:tabs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Nuo 202_ m. ____ __</w:t>
                  </w:r>
                  <w:r w:rsidR="00775ECD" w:rsidRPr="007B5908">
                    <w:rPr>
                      <w:lang w:val="lt-LT"/>
                    </w:rPr>
                    <w:t xml:space="preserve"> d.</w:t>
                  </w:r>
                </w:p>
              </w:tc>
            </w:tr>
          </w:tbl>
          <w:p w14:paraId="7E850B76" w14:textId="77777777" w:rsidR="00395599" w:rsidRPr="007B5908" w:rsidRDefault="00395599" w:rsidP="00395599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</w:p>
        </w:tc>
      </w:tr>
      <w:tr w:rsidR="00775ECD" w:rsidRPr="00CC1778" w14:paraId="28109552" w14:textId="77777777" w:rsidTr="00965258">
        <w:trPr>
          <w:trHeight w:val="275"/>
        </w:trPr>
        <w:tc>
          <w:tcPr>
            <w:tcW w:w="988" w:type="dxa"/>
          </w:tcPr>
          <w:p w14:paraId="45A192DC" w14:textId="77777777" w:rsidR="00775ECD" w:rsidRPr="007B5908" w:rsidRDefault="00775ECD" w:rsidP="000371AF">
            <w:pPr>
              <w:jc w:val="both"/>
              <w:rPr>
                <w:rFonts w:cstheme="minorHAnsi"/>
                <w:lang w:val="lt-LT"/>
              </w:rPr>
            </w:pPr>
            <w:r w:rsidRPr="007B5908">
              <w:rPr>
                <w:rFonts w:cstheme="minorHAnsi"/>
                <w:lang w:val="lt-LT"/>
              </w:rPr>
              <w:t>2.3.</w:t>
            </w:r>
          </w:p>
        </w:tc>
        <w:tc>
          <w:tcPr>
            <w:tcW w:w="8974" w:type="dxa"/>
          </w:tcPr>
          <w:p w14:paraId="27B12EA4" w14:textId="77777777" w:rsidR="00775ECD" w:rsidRDefault="004A4BCC" w:rsidP="00F938C3">
            <w:pPr>
              <w:tabs>
                <w:tab w:val="left" w:pos="0"/>
                <w:tab w:val="left" w:pos="567"/>
                <w:tab w:val="left" w:pos="709"/>
              </w:tabs>
              <w:spacing w:after="120"/>
              <w:jc w:val="both"/>
              <w:rPr>
                <w:lang w:val="lt-LT"/>
              </w:rPr>
            </w:pPr>
            <w:r>
              <w:rPr>
                <w:lang w:val="lt-LT"/>
              </w:rPr>
              <w:t>Draudikas įsipareigoja apdrausti naujai įdarbintus Draudėjo</w:t>
            </w:r>
            <w:r w:rsidRPr="00604A4D">
              <w:rPr>
                <w:lang w:val="lt-LT"/>
              </w:rPr>
              <w:t xml:space="preserve"> </w:t>
            </w:r>
            <w:r>
              <w:rPr>
                <w:lang w:val="lt-LT"/>
              </w:rPr>
              <w:t>darbuotojus (</w:t>
            </w:r>
            <w:r w:rsidRPr="00C523DE">
              <w:rPr>
                <w:lang w:val="lt-LT"/>
              </w:rPr>
              <w:t xml:space="preserve">t. y. </w:t>
            </w:r>
            <w:r>
              <w:rPr>
                <w:lang w:val="lt-LT"/>
              </w:rPr>
              <w:t>sudaryti su Draudėjo nurodytais asmenimis</w:t>
            </w:r>
            <w:r w:rsidRPr="00C523DE">
              <w:rPr>
                <w:lang w:val="lt-LT"/>
              </w:rPr>
              <w:t>, pensinio draudimo su garantuotomis palū</w:t>
            </w:r>
            <w:r>
              <w:rPr>
                <w:lang w:val="lt-LT"/>
              </w:rPr>
              <w:t>kanomis gyvybės draudimo sutarti</w:t>
            </w:r>
            <w:r w:rsidRPr="00C523DE">
              <w:rPr>
                <w:lang w:val="lt-LT"/>
              </w:rPr>
              <w:t>s</w:t>
            </w:r>
            <w:r>
              <w:rPr>
                <w:lang w:val="lt-LT"/>
              </w:rPr>
              <w:t>)</w:t>
            </w:r>
            <w:r w:rsidRPr="00C523D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tokiomis pačiomis sąlygomis </w:t>
            </w:r>
            <w:r w:rsidR="00F938C3" w:rsidRPr="00F938C3">
              <w:rPr>
                <w:lang w:val="lt-LT"/>
              </w:rPr>
              <w:t xml:space="preserve">(išskyrus žemiau nurodytą išimtį*) </w:t>
            </w:r>
            <w:r>
              <w:rPr>
                <w:lang w:val="lt-LT"/>
              </w:rPr>
              <w:t>3 metus nuo sutarties įsigaliojimo dienos</w:t>
            </w:r>
            <w:r w:rsidRPr="00895DC4">
              <w:rPr>
                <w:lang w:val="lt-LT"/>
              </w:rPr>
              <w:t>.</w:t>
            </w:r>
            <w:r w:rsidRPr="00895DC4">
              <w:rPr>
                <w:rFonts w:cstheme="minorHAnsi"/>
                <w:lang w:val="lt-LT"/>
              </w:rPr>
              <w:t xml:space="preserve"> </w:t>
            </w:r>
            <w:r w:rsidR="001858AF" w:rsidRPr="00895DC4">
              <w:rPr>
                <w:rFonts w:cstheme="minorHAnsi"/>
                <w:lang w:val="lt-LT"/>
              </w:rPr>
              <w:t>3 metų laikotarpiu</w:t>
            </w:r>
            <w:r w:rsidR="0074424E" w:rsidRPr="00895DC4">
              <w:rPr>
                <w:rFonts w:cstheme="minorHAnsi"/>
                <w:lang w:val="lt-LT"/>
              </w:rPr>
              <w:t xml:space="preserve"> Draudėjas apdraus ne mažiau kaip </w:t>
            </w:r>
            <w:r w:rsidR="00A23704" w:rsidRPr="00895DC4">
              <w:rPr>
                <w:rFonts w:cstheme="minorHAnsi"/>
                <w:lang w:val="lt-LT"/>
              </w:rPr>
              <w:t>2</w:t>
            </w:r>
            <w:r w:rsidR="0074424E" w:rsidRPr="00895DC4">
              <w:rPr>
                <w:rFonts w:cstheme="minorHAnsi"/>
                <w:lang w:val="lt-LT"/>
              </w:rPr>
              <w:t xml:space="preserve">0 darbuotojų. </w:t>
            </w:r>
            <w:r w:rsidRPr="00895DC4">
              <w:rPr>
                <w:lang w:val="lt-LT"/>
              </w:rPr>
              <w:t>Draudėjo planuojama su Paslaugos</w:t>
            </w:r>
            <w:r w:rsidRPr="00DC37F7">
              <w:rPr>
                <w:lang w:val="lt-LT"/>
              </w:rPr>
              <w:t xml:space="preserve"> teikėju sudaryti pensinio draudimo su garantuotomis palūkanomis gyvybės draudimo paslaugų teikimo pradžia – </w:t>
            </w:r>
            <w:r w:rsidR="0074424E">
              <w:rPr>
                <w:lang w:val="lt-LT"/>
              </w:rPr>
              <w:t xml:space="preserve">ne anksčiau kaip </w:t>
            </w:r>
            <w:r w:rsidRPr="00DC37F7">
              <w:rPr>
                <w:lang w:val="lt-LT"/>
              </w:rPr>
              <w:t>20</w:t>
            </w:r>
            <w:r w:rsidR="00335C36">
              <w:rPr>
                <w:lang w:val="lt-LT"/>
              </w:rPr>
              <w:t>23</w:t>
            </w:r>
            <w:r w:rsidRPr="00DC37F7">
              <w:rPr>
                <w:lang w:val="lt-LT"/>
              </w:rPr>
              <w:t xml:space="preserve"> m. </w:t>
            </w:r>
            <w:r w:rsidR="00335C36">
              <w:rPr>
                <w:lang w:val="lt-LT"/>
              </w:rPr>
              <w:t>gegužės</w:t>
            </w:r>
            <w:r w:rsidR="00376EA6">
              <w:rPr>
                <w:lang w:val="lt-LT"/>
              </w:rPr>
              <w:t xml:space="preserve"> </w:t>
            </w:r>
            <w:r w:rsidR="00335C36">
              <w:rPr>
                <w:lang w:val="lt-LT"/>
              </w:rPr>
              <w:t>20</w:t>
            </w:r>
            <w:r w:rsidRPr="00DC37F7">
              <w:rPr>
                <w:lang w:val="lt-LT"/>
              </w:rPr>
              <w:t xml:space="preserve"> d.</w:t>
            </w:r>
            <w:r>
              <w:rPr>
                <w:lang w:val="lt-LT"/>
              </w:rPr>
              <w:t xml:space="preserve"> </w:t>
            </w:r>
          </w:p>
          <w:p w14:paraId="628BCBA6" w14:textId="3CA0D0CE" w:rsidR="00F938C3" w:rsidRPr="007B5908" w:rsidRDefault="00F938C3" w:rsidP="004A4BCC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 w:rsidRPr="00F938C3">
              <w:rPr>
                <w:lang w:val="lt-LT"/>
              </w:rPr>
              <w:t>* Jei Draudikas padidins garantuotų palūkanų normą, standartiškai taikomą naujiems Draudiko klientams, tai tokia padidinta garantuotų palūkanų norma nuo to momento būtų taikoma ir apdraudžiant naujai įdarbintus Draudėjo darbuotojus</w:t>
            </w:r>
            <w:r>
              <w:rPr>
                <w:lang w:val="lt-LT"/>
              </w:rPr>
              <w:t xml:space="preserve"> (</w:t>
            </w:r>
            <w:r w:rsidR="000939E0">
              <w:rPr>
                <w:lang w:val="lt-LT"/>
              </w:rPr>
              <w:t xml:space="preserve">naujose </w:t>
            </w:r>
            <w:r w:rsidRPr="00843C8C">
              <w:rPr>
                <w:lang w:val="lt-LT"/>
              </w:rPr>
              <w:t>sudaromo</w:t>
            </w:r>
            <w:r w:rsidR="009A3E26" w:rsidRPr="00843C8C">
              <w:rPr>
                <w:lang w:val="lt-LT"/>
              </w:rPr>
              <w:t>se</w:t>
            </w:r>
            <w:r w:rsidRPr="00843C8C">
              <w:rPr>
                <w:lang w:val="lt-LT"/>
              </w:rPr>
              <w:t xml:space="preserve"> </w:t>
            </w:r>
            <w:r w:rsidR="00843C8C">
              <w:rPr>
                <w:lang w:val="lt-LT"/>
              </w:rPr>
              <w:t xml:space="preserve">draudimo </w:t>
            </w:r>
            <w:r w:rsidRPr="00843C8C">
              <w:rPr>
                <w:lang w:val="lt-LT"/>
              </w:rPr>
              <w:t>sutart</w:t>
            </w:r>
            <w:r w:rsidR="009A3E26" w:rsidRPr="00843C8C">
              <w:rPr>
                <w:lang w:val="lt-LT"/>
              </w:rPr>
              <w:t>yse</w:t>
            </w:r>
            <w:r w:rsidR="00843C8C">
              <w:rPr>
                <w:lang w:val="lt-LT"/>
              </w:rPr>
              <w:t xml:space="preserve"> nuo šios aplinkybės atsiradimo</w:t>
            </w:r>
            <w:r w:rsidRPr="00843C8C">
              <w:rPr>
                <w:lang w:val="lt-LT"/>
              </w:rPr>
              <w:t>).</w:t>
            </w:r>
          </w:p>
        </w:tc>
      </w:tr>
      <w:tr w:rsidR="00FD7001" w:rsidRPr="00CC1778" w14:paraId="61D38006" w14:textId="77777777" w:rsidTr="00965258">
        <w:trPr>
          <w:trHeight w:val="325"/>
        </w:trPr>
        <w:tc>
          <w:tcPr>
            <w:tcW w:w="988" w:type="dxa"/>
            <w:tcBorders>
              <w:bottom w:val="single" w:sz="4" w:space="0" w:color="auto"/>
            </w:tcBorders>
          </w:tcPr>
          <w:p w14:paraId="1EE5BEC5" w14:textId="22B16675" w:rsidR="00FD7001" w:rsidRPr="007B5908" w:rsidRDefault="00986E2E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2.4.</w:t>
            </w:r>
          </w:p>
        </w:tc>
        <w:tc>
          <w:tcPr>
            <w:tcW w:w="8974" w:type="dxa"/>
            <w:tcBorders>
              <w:bottom w:val="single" w:sz="4" w:space="0" w:color="auto"/>
            </w:tcBorders>
          </w:tcPr>
          <w:p w14:paraId="6ED44E7A" w14:textId="59FD1C4A" w:rsidR="00FD7001" w:rsidRPr="007B5908" w:rsidRDefault="004A4BCC" w:rsidP="00C523DE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Draudėjas</w:t>
            </w:r>
            <w:r w:rsidRPr="007B5908">
              <w:rPr>
                <w:lang w:val="lt-LT"/>
              </w:rPr>
              <w:t xml:space="preserve"> apdraus darbuotojus pagal einamųjų kalendorinių metų įdarbintų darbuotojų skaičių.</w:t>
            </w:r>
          </w:p>
        </w:tc>
      </w:tr>
      <w:tr w:rsidR="00DC37F7" w:rsidRPr="00CC1778" w14:paraId="3064B5E2" w14:textId="77777777" w:rsidTr="00965258">
        <w:trPr>
          <w:trHeight w:val="273"/>
        </w:trPr>
        <w:tc>
          <w:tcPr>
            <w:tcW w:w="988" w:type="dxa"/>
            <w:tcBorders>
              <w:top w:val="single" w:sz="4" w:space="0" w:color="auto"/>
            </w:tcBorders>
          </w:tcPr>
          <w:p w14:paraId="2A5DA3D8" w14:textId="52703BED" w:rsidR="00DC37F7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2.5.</w:t>
            </w:r>
          </w:p>
        </w:tc>
        <w:tc>
          <w:tcPr>
            <w:tcW w:w="8974" w:type="dxa"/>
            <w:tcBorders>
              <w:top w:val="single" w:sz="4" w:space="0" w:color="auto"/>
            </w:tcBorders>
          </w:tcPr>
          <w:p w14:paraId="65635FF2" w14:textId="70AEF4F1" w:rsidR="00DC37F7" w:rsidRDefault="001F67ED" w:rsidP="00AC3076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 w:rsidRPr="002727A4">
              <w:rPr>
                <w:rFonts w:cstheme="minorHAnsi"/>
                <w:lang w:val="lt-LT" w:eastAsia="lt-LT"/>
              </w:rPr>
              <w:t xml:space="preserve">Apdraustųjų sąrašo pakeitimai vykdomi </w:t>
            </w:r>
            <w:r w:rsidR="002859F1">
              <w:rPr>
                <w:rFonts w:cstheme="minorHAnsi"/>
                <w:lang w:val="lt-LT" w:eastAsia="lt-LT"/>
              </w:rPr>
              <w:t>pagal Draudėjo poreikį</w:t>
            </w:r>
            <w:r w:rsidR="002727A4">
              <w:rPr>
                <w:rFonts w:cstheme="minorHAnsi"/>
                <w:lang w:val="lt-LT" w:eastAsia="lt-LT"/>
              </w:rPr>
              <w:t>.</w:t>
            </w:r>
            <w:r>
              <w:rPr>
                <w:lang w:val="lt-LT"/>
              </w:rPr>
              <w:t xml:space="preserve"> </w:t>
            </w:r>
          </w:p>
        </w:tc>
      </w:tr>
      <w:tr w:rsidR="00775ECD" w:rsidRPr="00CC1778" w14:paraId="6AB94D90" w14:textId="77777777" w:rsidTr="00965258">
        <w:trPr>
          <w:trHeight w:val="415"/>
        </w:trPr>
        <w:tc>
          <w:tcPr>
            <w:tcW w:w="988" w:type="dxa"/>
          </w:tcPr>
          <w:p w14:paraId="1F3D217D" w14:textId="5677E03C" w:rsidR="00775ECD" w:rsidRPr="007B5908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2.6</w:t>
            </w:r>
            <w:r w:rsidR="00775ECD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073A82D1" w14:textId="70BD8A39" w:rsidR="00775ECD" w:rsidRPr="007B5908" w:rsidRDefault="00775ECD" w:rsidP="00775ECD">
            <w:pPr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 xml:space="preserve">Kiekvienam Apdraustajam pagal pateikiamą sąrašą (pavyzdys </w:t>
            </w:r>
            <w:r w:rsidR="008B6A04">
              <w:rPr>
                <w:lang w:val="lt-LT"/>
              </w:rPr>
              <w:t xml:space="preserve">techninės specifikacijos </w:t>
            </w:r>
            <w:r w:rsidRPr="007B5908">
              <w:rPr>
                <w:lang w:val="lt-LT"/>
              </w:rPr>
              <w:t xml:space="preserve">2.2 punkte) sudaromas atskiras draudimo liudijimas, tačiau apmokėjimas vykdomas pagal bendrą sąskaitą už visus Apdraustuosius </w:t>
            </w:r>
            <w:r w:rsidR="00FD3BFF">
              <w:rPr>
                <w:lang w:val="lt-LT"/>
              </w:rPr>
              <w:t xml:space="preserve">(arba jų dalį) </w:t>
            </w:r>
            <w:r w:rsidRPr="007B5908">
              <w:rPr>
                <w:lang w:val="lt-LT"/>
              </w:rPr>
              <w:t>numatytu periodiškumu.</w:t>
            </w:r>
          </w:p>
        </w:tc>
      </w:tr>
      <w:tr w:rsidR="00386042" w:rsidRPr="007B5908" w14:paraId="2A9026F0" w14:textId="77777777" w:rsidTr="00965258">
        <w:trPr>
          <w:trHeight w:val="368"/>
        </w:trPr>
        <w:tc>
          <w:tcPr>
            <w:tcW w:w="988" w:type="dxa"/>
          </w:tcPr>
          <w:p w14:paraId="61E16BA5" w14:textId="6083BB8F" w:rsidR="00386042" w:rsidRPr="007B5908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2.7</w:t>
            </w:r>
            <w:r w:rsidR="00386042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1FEB8D15" w14:textId="566CE742" w:rsidR="009036D0" w:rsidRPr="007B5908" w:rsidRDefault="00E87974" w:rsidP="00AB3E9D">
            <w:pPr>
              <w:tabs>
                <w:tab w:val="left" w:pos="0"/>
                <w:tab w:val="left" w:pos="567"/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Kiekvienas </w:t>
            </w:r>
            <w:r w:rsidR="0054235B">
              <w:rPr>
                <w:lang w:val="lt-LT"/>
              </w:rPr>
              <w:t xml:space="preserve">Draudėjo darbuotojas </w:t>
            </w:r>
            <w:r w:rsidR="00AD4D9D">
              <w:rPr>
                <w:lang w:val="lt-LT"/>
              </w:rPr>
              <w:t xml:space="preserve">apdraudžiamas </w:t>
            </w:r>
            <w:r w:rsidR="00386042" w:rsidRPr="007B5908">
              <w:rPr>
                <w:lang w:val="lt-LT"/>
              </w:rPr>
              <w:t>15 (penkiolikos) metų</w:t>
            </w:r>
            <w:r w:rsidR="0054235B">
              <w:rPr>
                <w:lang w:val="lt-LT"/>
              </w:rPr>
              <w:t xml:space="preserve"> terminui</w:t>
            </w:r>
            <w:r>
              <w:rPr>
                <w:lang w:val="lt-LT"/>
              </w:rPr>
              <w:t>.</w:t>
            </w:r>
          </w:p>
        </w:tc>
      </w:tr>
      <w:tr w:rsidR="00A0072F" w:rsidRPr="007B5908" w14:paraId="347AEC3E" w14:textId="77777777" w:rsidTr="00965258">
        <w:trPr>
          <w:trHeight w:val="480"/>
        </w:trPr>
        <w:tc>
          <w:tcPr>
            <w:tcW w:w="988" w:type="dxa"/>
          </w:tcPr>
          <w:p w14:paraId="7399C7CC" w14:textId="306361F5" w:rsidR="00A0072F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2.8</w:t>
            </w:r>
            <w:r w:rsidR="00951662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6D92D178" w14:textId="0B4B8DC0" w:rsidR="00A0072F" w:rsidRPr="00FB6635" w:rsidRDefault="00A0072F" w:rsidP="00951662">
            <w:pPr>
              <w:tabs>
                <w:tab w:val="left" w:pos="0"/>
                <w:tab w:val="left" w:pos="567"/>
                <w:tab w:val="left" w:pos="709"/>
              </w:tabs>
              <w:jc w:val="both"/>
            </w:pPr>
            <w:r>
              <w:rPr>
                <w:lang w:val="lt-LT"/>
              </w:rPr>
              <w:t>Periodinė</w:t>
            </w:r>
            <w:r w:rsidR="00C456CF">
              <w:rPr>
                <w:lang w:val="lt-LT"/>
              </w:rPr>
              <w:t>s</w:t>
            </w:r>
            <w:r w:rsidR="008F0EDE">
              <w:rPr>
                <w:lang w:val="lt-LT"/>
              </w:rPr>
              <w:t xml:space="preserve"> vienerių metų</w:t>
            </w:r>
            <w:r>
              <w:rPr>
                <w:lang w:val="lt-LT"/>
              </w:rPr>
              <w:t xml:space="preserve"> draudimo įmokos vienam Apdraustajam dydis – 725 EUR</w:t>
            </w:r>
            <w:r w:rsidR="00C456CF">
              <w:rPr>
                <w:lang w:val="lt-LT"/>
              </w:rPr>
              <w:t>/1</w:t>
            </w:r>
            <w:r>
              <w:rPr>
                <w:lang w:val="lt-LT"/>
              </w:rPr>
              <w:t xml:space="preserve"> metams</w:t>
            </w:r>
            <w:r w:rsidR="00951662">
              <w:rPr>
                <w:lang w:val="lt-LT"/>
              </w:rPr>
              <w:t>.</w:t>
            </w:r>
            <w:r w:rsidR="00951662" w:rsidRPr="00951662">
              <w:rPr>
                <w:lang w:val="lt-LT"/>
              </w:rPr>
              <w:t xml:space="preserve"> Periodinė </w:t>
            </w:r>
            <w:r w:rsidR="00951662">
              <w:rPr>
                <w:lang w:val="lt-LT"/>
              </w:rPr>
              <w:t>draudimo įmok</w:t>
            </w:r>
            <w:r w:rsidR="00141C11">
              <w:rPr>
                <w:lang w:val="lt-LT"/>
              </w:rPr>
              <w:t>a</w:t>
            </w:r>
            <w:r w:rsidR="00951662">
              <w:rPr>
                <w:lang w:val="lt-LT"/>
              </w:rPr>
              <w:t xml:space="preserve"> </w:t>
            </w:r>
            <w:r w:rsidR="00C456CF">
              <w:rPr>
                <w:lang w:val="lt-LT"/>
              </w:rPr>
              <w:t xml:space="preserve">(visa apimtimi) </w:t>
            </w:r>
            <w:r w:rsidR="00951662">
              <w:rPr>
                <w:lang w:val="lt-LT"/>
              </w:rPr>
              <w:t>mokama 1 kartą per metus</w:t>
            </w:r>
            <w:r w:rsidR="00C456CF">
              <w:rPr>
                <w:lang w:val="lt-LT"/>
              </w:rPr>
              <w:t>.</w:t>
            </w:r>
          </w:p>
        </w:tc>
      </w:tr>
      <w:tr w:rsidR="00386042" w:rsidRPr="00CC1778" w14:paraId="58A98EC9" w14:textId="77777777" w:rsidTr="00965258">
        <w:trPr>
          <w:trHeight w:val="415"/>
        </w:trPr>
        <w:tc>
          <w:tcPr>
            <w:tcW w:w="988" w:type="dxa"/>
          </w:tcPr>
          <w:p w14:paraId="140B7266" w14:textId="2A75FBD9" w:rsidR="00386042" w:rsidRPr="007B5908" w:rsidRDefault="00271BBA" w:rsidP="00AC3076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</w:t>
            </w:r>
            <w:r w:rsidR="00AC3076">
              <w:rPr>
                <w:rFonts w:cstheme="minorHAnsi"/>
                <w:lang w:val="lt-LT"/>
              </w:rPr>
              <w:t>9</w:t>
            </w:r>
          </w:p>
        </w:tc>
        <w:tc>
          <w:tcPr>
            <w:tcW w:w="8974" w:type="dxa"/>
          </w:tcPr>
          <w:p w14:paraId="16305E97" w14:textId="5BAD19F6" w:rsidR="00386042" w:rsidRPr="007B5908" w:rsidRDefault="00386042" w:rsidP="006D2254">
            <w:pPr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 xml:space="preserve">Naudos gavėjas visą sutarties galiojimo laikotarpį – Apdraustasis. </w:t>
            </w:r>
            <w:r w:rsidR="00AF60B5">
              <w:rPr>
                <w:lang w:val="lt-LT"/>
              </w:rPr>
              <w:t xml:space="preserve">Apdraustajam sukaupta suma išmokama draudimo laikotarpio pabaigoje. </w:t>
            </w:r>
            <w:r w:rsidRPr="007B5908">
              <w:rPr>
                <w:lang w:val="lt-LT"/>
              </w:rPr>
              <w:t>Apdraustojo mirties atveju sukaupta suma išmokam</w:t>
            </w:r>
            <w:r w:rsidR="00A20A5E">
              <w:rPr>
                <w:lang w:val="lt-LT"/>
              </w:rPr>
              <w:t>a</w:t>
            </w:r>
            <w:r w:rsidRPr="007B5908">
              <w:rPr>
                <w:lang w:val="lt-LT"/>
              </w:rPr>
              <w:t xml:space="preserve"> </w:t>
            </w:r>
            <w:r w:rsidR="009C10E0">
              <w:rPr>
                <w:lang w:val="lt-LT"/>
              </w:rPr>
              <w:t xml:space="preserve">Apdraustojo </w:t>
            </w:r>
            <w:r w:rsidRPr="007B5908">
              <w:rPr>
                <w:lang w:val="lt-LT"/>
              </w:rPr>
              <w:t>teisėtiems paveldėtojams.</w:t>
            </w:r>
            <w:r w:rsidR="00AC3076">
              <w:rPr>
                <w:lang w:val="lt-LT"/>
              </w:rPr>
              <w:t xml:space="preserve"> Draudėjas turi teisę Apdraustajam neperleisti Draudėjo teisių ir už sukauptą sumą (išskaičiavus Draudiko taikomus administravimo mokesčius) padengti kitų draudimo liudijimų periodines draudimo įmokas.</w:t>
            </w:r>
          </w:p>
        </w:tc>
      </w:tr>
      <w:tr w:rsidR="00386042" w:rsidRPr="00CC1778" w14:paraId="4D7F8EC4" w14:textId="77777777" w:rsidTr="00965258">
        <w:trPr>
          <w:trHeight w:val="415"/>
        </w:trPr>
        <w:tc>
          <w:tcPr>
            <w:tcW w:w="988" w:type="dxa"/>
          </w:tcPr>
          <w:p w14:paraId="7BD79D3E" w14:textId="6C89B106" w:rsidR="00386042" w:rsidRPr="007B5908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2.1</w:t>
            </w:r>
            <w:r w:rsidR="00AC3076">
              <w:rPr>
                <w:rFonts w:cstheme="minorHAnsi"/>
                <w:lang w:val="lt-LT"/>
              </w:rPr>
              <w:t>0</w:t>
            </w:r>
            <w:r w:rsidR="007B5908" w:rsidRP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19B846C4" w14:textId="658CA92C" w:rsidR="00386042" w:rsidRPr="007B5908" w:rsidRDefault="007B5908" w:rsidP="00386042">
            <w:pPr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>Visą draudimo sutarties galiojimo laikotarpį sudaroma galimybė pakeisti Draudėją, Apdraustąjį, Naudos gavėją pagal Draudėjo po</w:t>
            </w:r>
            <w:r w:rsidR="004A4BCC">
              <w:rPr>
                <w:lang w:val="lt-LT"/>
              </w:rPr>
              <w:t>reikius, atskirai informuojant D</w:t>
            </w:r>
            <w:r w:rsidRPr="007B5908">
              <w:rPr>
                <w:lang w:val="lt-LT"/>
              </w:rPr>
              <w:t>raudiką apie numatomus pakeitimus. Tai</w:t>
            </w:r>
            <w:r>
              <w:rPr>
                <w:lang w:val="lt-LT"/>
              </w:rPr>
              <w:t>kant šiuos Sutarties keitimus, g</w:t>
            </w:r>
            <w:r w:rsidRPr="007B5908">
              <w:rPr>
                <w:lang w:val="lt-LT"/>
              </w:rPr>
              <w:t>arantuotų palūkanų norma (procentas) Draudėjui lieka nepakitusi (tokia pati, kaip sudarant pradinę sutartį) visam likusiam sutarties galiojimo laikotarpiui.</w:t>
            </w:r>
          </w:p>
        </w:tc>
      </w:tr>
      <w:tr w:rsidR="007B5908" w:rsidRPr="00CC1778" w14:paraId="19A7951F" w14:textId="77777777" w:rsidTr="00965258">
        <w:trPr>
          <w:trHeight w:val="415"/>
        </w:trPr>
        <w:tc>
          <w:tcPr>
            <w:tcW w:w="988" w:type="dxa"/>
          </w:tcPr>
          <w:p w14:paraId="3194CC92" w14:textId="79592ECF" w:rsidR="007B5908" w:rsidRPr="007B5908" w:rsidRDefault="00271BBA" w:rsidP="000371AF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2.1</w:t>
            </w:r>
            <w:r w:rsidR="00AC3076">
              <w:rPr>
                <w:rFonts w:cstheme="minorHAnsi"/>
                <w:lang w:val="lt-LT"/>
              </w:rPr>
              <w:t>1</w:t>
            </w:r>
            <w:r w:rsidR="007B5908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3478CEF0" w14:textId="153C39D4" w:rsidR="007B5908" w:rsidRPr="007B5908" w:rsidRDefault="007B5908" w:rsidP="000B605C">
            <w:pPr>
              <w:jc w:val="both"/>
              <w:rPr>
                <w:lang w:val="lt-LT"/>
              </w:rPr>
            </w:pPr>
            <w:r w:rsidRPr="007B5908">
              <w:rPr>
                <w:lang w:val="lt-LT"/>
              </w:rPr>
              <w:t>Visą sutarties galiojimo laikotarpį Draudėjui suteikiama galimybė keisti įmokų dydį (</w:t>
            </w:r>
            <w:r w:rsidR="00FB6635">
              <w:rPr>
                <w:lang w:val="lt-LT"/>
              </w:rPr>
              <w:t>į n</w:t>
            </w:r>
            <w:r w:rsidR="002A2ABD">
              <w:rPr>
                <w:lang w:val="lt-LT"/>
              </w:rPr>
              <w:t xml:space="preserve">e mažesnę nei </w:t>
            </w:r>
            <w:r w:rsidR="00FB6635">
              <w:rPr>
                <w:lang w:val="lt-LT"/>
              </w:rPr>
              <w:t xml:space="preserve">nustatyta </w:t>
            </w:r>
            <w:r w:rsidR="000B605C" w:rsidRPr="002A2ABD">
              <w:rPr>
                <w:lang w:val="lt-LT"/>
              </w:rPr>
              <w:t>techninės specifikacijos</w:t>
            </w:r>
            <w:r w:rsidR="000B605C" w:rsidRPr="00CC1778">
              <w:rPr>
                <w:lang w:val="lt-LT"/>
              </w:rPr>
              <w:t xml:space="preserve"> </w:t>
            </w:r>
            <w:r w:rsidR="007346F9">
              <w:rPr>
                <w:lang w:val="lt-LT"/>
              </w:rPr>
              <w:t>2.8</w:t>
            </w:r>
            <w:r w:rsidR="000B605C">
              <w:rPr>
                <w:lang w:val="lt-LT"/>
              </w:rPr>
              <w:t xml:space="preserve"> p.</w:t>
            </w:r>
            <w:r w:rsidRPr="007B5908">
              <w:rPr>
                <w:lang w:val="lt-LT"/>
              </w:rPr>
              <w:t xml:space="preserve">), </w:t>
            </w:r>
            <w:r w:rsidR="004A4BCC">
              <w:rPr>
                <w:lang w:val="lt-LT"/>
              </w:rPr>
              <w:t xml:space="preserve">įmokų mokėjimo </w:t>
            </w:r>
            <w:r w:rsidRPr="007B5908">
              <w:rPr>
                <w:lang w:val="lt-LT"/>
              </w:rPr>
              <w:t>periodiškumą, sutarties galiojimo laikotarpį (kiek tai neprieštarauja Draudiko taisyklėms) kiekvienam Apdraustajam atskirai. Tai</w:t>
            </w:r>
            <w:r>
              <w:rPr>
                <w:lang w:val="lt-LT"/>
              </w:rPr>
              <w:t>kant šiuos Sutarties keitimus, g</w:t>
            </w:r>
            <w:r w:rsidRPr="007B5908">
              <w:rPr>
                <w:lang w:val="lt-LT"/>
              </w:rPr>
              <w:t>arantuotų palūkanų norma (procentas) Draudėjui lieka nepakitusi (tokia pati, kaip sudarant pradinę sutartį) visam likusiam sutarties galiojimo laikotarpiui.</w:t>
            </w:r>
          </w:p>
        </w:tc>
      </w:tr>
      <w:tr w:rsidR="000D3359" w:rsidRPr="00CC1778" w14:paraId="5031A837" w14:textId="77777777" w:rsidTr="00965258">
        <w:trPr>
          <w:trHeight w:val="584"/>
        </w:trPr>
        <w:tc>
          <w:tcPr>
            <w:tcW w:w="988" w:type="dxa"/>
          </w:tcPr>
          <w:p w14:paraId="700B8991" w14:textId="23BB50FB" w:rsidR="000D3359" w:rsidRDefault="00271BBA" w:rsidP="00AC3076">
            <w:pPr>
              <w:jc w:val="both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2.1</w:t>
            </w:r>
            <w:r w:rsidR="000D0C06">
              <w:rPr>
                <w:rFonts w:cstheme="minorHAnsi"/>
                <w:lang w:val="lt-LT"/>
              </w:rPr>
              <w:t>2</w:t>
            </w:r>
            <w:r w:rsidR="000D3359">
              <w:rPr>
                <w:rFonts w:cstheme="minorHAnsi"/>
                <w:lang w:val="lt-LT"/>
              </w:rPr>
              <w:t>.</w:t>
            </w:r>
          </w:p>
        </w:tc>
        <w:tc>
          <w:tcPr>
            <w:tcW w:w="8974" w:type="dxa"/>
          </w:tcPr>
          <w:p w14:paraId="05A96FC6" w14:textId="69D4A156" w:rsidR="000D3359" w:rsidRDefault="000D3359" w:rsidP="00CA2FC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Gyvybės draudimo, </w:t>
            </w:r>
            <w:r w:rsidR="00CA2FCF">
              <w:rPr>
                <w:lang w:val="lt-LT"/>
              </w:rPr>
              <w:t xml:space="preserve">mirties dėl nelaimingo atsitikimo, kritinių ligų, </w:t>
            </w:r>
            <w:r>
              <w:rPr>
                <w:lang w:val="lt-LT"/>
              </w:rPr>
              <w:t>traumų, n</w:t>
            </w:r>
            <w:r w:rsidRPr="000D3359">
              <w:rPr>
                <w:lang w:val="lt-LT"/>
              </w:rPr>
              <w:t>eįgalumo</w:t>
            </w:r>
            <w:r w:rsidR="00CA2FCF">
              <w:rPr>
                <w:lang w:val="lt-LT"/>
              </w:rPr>
              <w:t xml:space="preserve">, darbingumo praradimo </w:t>
            </w:r>
            <w:r w:rsidR="008B6A04">
              <w:rPr>
                <w:lang w:val="lt-LT"/>
              </w:rPr>
              <w:t xml:space="preserve">ir kt. </w:t>
            </w:r>
            <w:r w:rsidRPr="000D3359">
              <w:rPr>
                <w:lang w:val="lt-LT"/>
              </w:rPr>
              <w:t>draudimo sumos nėra pasirenkamos, t.</w:t>
            </w:r>
            <w:r w:rsidR="009E1063">
              <w:rPr>
                <w:lang w:val="lt-LT"/>
              </w:rPr>
              <w:t xml:space="preserve"> </w:t>
            </w:r>
            <w:r w:rsidRPr="000D3359">
              <w:rPr>
                <w:lang w:val="lt-LT"/>
              </w:rPr>
              <w:t>y. draudimo sumos gyvybės draudimo, traumų, neįgalumo</w:t>
            </w:r>
            <w:r w:rsidR="00365E58">
              <w:rPr>
                <w:lang w:val="lt-LT"/>
              </w:rPr>
              <w:t xml:space="preserve"> ir kitoms</w:t>
            </w:r>
            <w:r w:rsidR="004A4BCC">
              <w:rPr>
                <w:lang w:val="lt-LT"/>
              </w:rPr>
              <w:t xml:space="preserve"> rizikoms – 0 (nulis) EUR</w:t>
            </w:r>
            <w:r>
              <w:rPr>
                <w:lang w:val="lt-LT"/>
              </w:rPr>
              <w:t>.</w:t>
            </w:r>
          </w:p>
        </w:tc>
      </w:tr>
    </w:tbl>
    <w:p w14:paraId="4A558754" w14:textId="77777777" w:rsidR="00891F8B" w:rsidRPr="00A04922" w:rsidRDefault="00891F8B" w:rsidP="009B70AE">
      <w:pPr>
        <w:jc w:val="both"/>
        <w:rPr>
          <w:rFonts w:cstheme="minorHAnsi"/>
          <w:b/>
          <w:lang w:val="lt-LT"/>
        </w:rPr>
      </w:pPr>
    </w:p>
    <w:sectPr w:rsidR="00891F8B" w:rsidRPr="00A04922" w:rsidSect="002B69D4">
      <w:pgSz w:w="11906" w:h="16838" w:code="9"/>
      <w:pgMar w:top="1418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0504"/>
    <w:multiLevelType w:val="multilevel"/>
    <w:tmpl w:val="16365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3B50"/>
    <w:multiLevelType w:val="hybridMultilevel"/>
    <w:tmpl w:val="E37A8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0501F"/>
    <w:multiLevelType w:val="multilevel"/>
    <w:tmpl w:val="5372A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8146604">
    <w:abstractNumId w:val="2"/>
  </w:num>
  <w:num w:numId="2" w16cid:durableId="1475755990">
    <w:abstractNumId w:val="0"/>
  </w:num>
  <w:num w:numId="3" w16cid:durableId="69160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AF"/>
    <w:rsid w:val="00000345"/>
    <w:rsid w:val="00026B72"/>
    <w:rsid w:val="000371AF"/>
    <w:rsid w:val="0006206B"/>
    <w:rsid w:val="000773B1"/>
    <w:rsid w:val="000939E0"/>
    <w:rsid w:val="000B605C"/>
    <w:rsid w:val="000D0C06"/>
    <w:rsid w:val="000D3359"/>
    <w:rsid w:val="00135CD4"/>
    <w:rsid w:val="00141C11"/>
    <w:rsid w:val="00145305"/>
    <w:rsid w:val="00146822"/>
    <w:rsid w:val="00156E6D"/>
    <w:rsid w:val="001858AF"/>
    <w:rsid w:val="001B2905"/>
    <w:rsid w:val="001C78A6"/>
    <w:rsid w:val="001D14CF"/>
    <w:rsid w:val="001F2A8F"/>
    <w:rsid w:val="001F67ED"/>
    <w:rsid w:val="0026415A"/>
    <w:rsid w:val="00271BBA"/>
    <w:rsid w:val="002727A4"/>
    <w:rsid w:val="002859F1"/>
    <w:rsid w:val="002A2ABD"/>
    <w:rsid w:val="002B69D4"/>
    <w:rsid w:val="002D747E"/>
    <w:rsid w:val="002E75DB"/>
    <w:rsid w:val="002E7CCB"/>
    <w:rsid w:val="0031289C"/>
    <w:rsid w:val="003172AC"/>
    <w:rsid w:val="00332ED8"/>
    <w:rsid w:val="00335C36"/>
    <w:rsid w:val="0033782B"/>
    <w:rsid w:val="00345EC7"/>
    <w:rsid w:val="003477C8"/>
    <w:rsid w:val="00365E58"/>
    <w:rsid w:val="00376EA6"/>
    <w:rsid w:val="00386042"/>
    <w:rsid w:val="003869E1"/>
    <w:rsid w:val="00391C59"/>
    <w:rsid w:val="00395599"/>
    <w:rsid w:val="003C74A2"/>
    <w:rsid w:val="003D251D"/>
    <w:rsid w:val="0042507A"/>
    <w:rsid w:val="004478A7"/>
    <w:rsid w:val="004A4BCC"/>
    <w:rsid w:val="004B3100"/>
    <w:rsid w:val="004B3498"/>
    <w:rsid w:val="004C5D13"/>
    <w:rsid w:val="004D5CCA"/>
    <w:rsid w:val="004E15A5"/>
    <w:rsid w:val="0051274F"/>
    <w:rsid w:val="00520486"/>
    <w:rsid w:val="005215FD"/>
    <w:rsid w:val="0054235B"/>
    <w:rsid w:val="0055408A"/>
    <w:rsid w:val="005655FD"/>
    <w:rsid w:val="00566D2C"/>
    <w:rsid w:val="00576D37"/>
    <w:rsid w:val="0058655D"/>
    <w:rsid w:val="005A32FD"/>
    <w:rsid w:val="005B6C93"/>
    <w:rsid w:val="005C0295"/>
    <w:rsid w:val="005C25BC"/>
    <w:rsid w:val="005D7039"/>
    <w:rsid w:val="005E0A7C"/>
    <w:rsid w:val="005F07F5"/>
    <w:rsid w:val="005F7839"/>
    <w:rsid w:val="006030EA"/>
    <w:rsid w:val="00604A4D"/>
    <w:rsid w:val="00606C85"/>
    <w:rsid w:val="00637798"/>
    <w:rsid w:val="006408EA"/>
    <w:rsid w:val="006C0F11"/>
    <w:rsid w:val="006D2254"/>
    <w:rsid w:val="006F0B5D"/>
    <w:rsid w:val="006F4D6D"/>
    <w:rsid w:val="007346F9"/>
    <w:rsid w:val="00736748"/>
    <w:rsid w:val="00743224"/>
    <w:rsid w:val="0074424E"/>
    <w:rsid w:val="00750F16"/>
    <w:rsid w:val="00761A0F"/>
    <w:rsid w:val="007625F5"/>
    <w:rsid w:val="00771C35"/>
    <w:rsid w:val="00774BA0"/>
    <w:rsid w:val="00775ECD"/>
    <w:rsid w:val="00780D77"/>
    <w:rsid w:val="007B5908"/>
    <w:rsid w:val="008417A3"/>
    <w:rsid w:val="00843C8C"/>
    <w:rsid w:val="008471D6"/>
    <w:rsid w:val="00891F8B"/>
    <w:rsid w:val="00895DC4"/>
    <w:rsid w:val="008B6A04"/>
    <w:rsid w:val="008C0DCD"/>
    <w:rsid w:val="008C298A"/>
    <w:rsid w:val="008E7D82"/>
    <w:rsid w:val="008F0EDE"/>
    <w:rsid w:val="009036D0"/>
    <w:rsid w:val="0091494F"/>
    <w:rsid w:val="00951662"/>
    <w:rsid w:val="00965258"/>
    <w:rsid w:val="00986E2E"/>
    <w:rsid w:val="009A3E26"/>
    <w:rsid w:val="009B70AE"/>
    <w:rsid w:val="009C091E"/>
    <w:rsid w:val="009C10B3"/>
    <w:rsid w:val="009C10E0"/>
    <w:rsid w:val="009C797B"/>
    <w:rsid w:val="009D2AFD"/>
    <w:rsid w:val="009E1063"/>
    <w:rsid w:val="00A0072F"/>
    <w:rsid w:val="00A04922"/>
    <w:rsid w:val="00A13E3C"/>
    <w:rsid w:val="00A161E9"/>
    <w:rsid w:val="00A20A5E"/>
    <w:rsid w:val="00A23704"/>
    <w:rsid w:val="00A734CA"/>
    <w:rsid w:val="00AB3E9D"/>
    <w:rsid w:val="00AC3076"/>
    <w:rsid w:val="00AD4D9D"/>
    <w:rsid w:val="00AF60B5"/>
    <w:rsid w:val="00AF65F2"/>
    <w:rsid w:val="00B4489F"/>
    <w:rsid w:val="00B45D7C"/>
    <w:rsid w:val="00B55EFA"/>
    <w:rsid w:val="00B606C2"/>
    <w:rsid w:val="00B93321"/>
    <w:rsid w:val="00BC64EF"/>
    <w:rsid w:val="00BD1168"/>
    <w:rsid w:val="00C32A67"/>
    <w:rsid w:val="00C4369B"/>
    <w:rsid w:val="00C456CF"/>
    <w:rsid w:val="00C523DE"/>
    <w:rsid w:val="00C56DFD"/>
    <w:rsid w:val="00C60064"/>
    <w:rsid w:val="00C65249"/>
    <w:rsid w:val="00C73400"/>
    <w:rsid w:val="00C8566E"/>
    <w:rsid w:val="00CA2FCF"/>
    <w:rsid w:val="00CC1778"/>
    <w:rsid w:val="00CC7904"/>
    <w:rsid w:val="00D0587B"/>
    <w:rsid w:val="00D66F43"/>
    <w:rsid w:val="00D92D67"/>
    <w:rsid w:val="00DC37F7"/>
    <w:rsid w:val="00DD3CBB"/>
    <w:rsid w:val="00DE42C9"/>
    <w:rsid w:val="00DF3451"/>
    <w:rsid w:val="00E41102"/>
    <w:rsid w:val="00E517A4"/>
    <w:rsid w:val="00E85FAD"/>
    <w:rsid w:val="00E87974"/>
    <w:rsid w:val="00E91811"/>
    <w:rsid w:val="00E946A0"/>
    <w:rsid w:val="00EA206A"/>
    <w:rsid w:val="00EC0EE7"/>
    <w:rsid w:val="00EE7FC3"/>
    <w:rsid w:val="00EF60B1"/>
    <w:rsid w:val="00F2212B"/>
    <w:rsid w:val="00F6708A"/>
    <w:rsid w:val="00F938C3"/>
    <w:rsid w:val="00FB6635"/>
    <w:rsid w:val="00FD3BFF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31B"/>
  <w15:chartTrackingRefBased/>
  <w15:docId w15:val="{4C979111-ADDF-46EC-ADC0-00D8C36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0371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0371AF"/>
    <w:rPr>
      <w:rFonts w:ascii="Times New Roman" w:eastAsia="Calibri" w:hAnsi="Times New Roman" w:cs="Times New Roman"/>
      <w:sz w:val="24"/>
      <w:szCs w:val="2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775E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1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8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.%20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5879-FD8E-4F76-93AB-E58990B7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4349</Words>
  <Characters>2480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Jauniskyte</dc:creator>
  <cp:keywords/>
  <dc:description/>
  <cp:lastModifiedBy>Donaldas Stepuro</cp:lastModifiedBy>
  <cp:revision>24</cp:revision>
  <cp:lastPrinted>2019-11-07T12:57:00Z</cp:lastPrinted>
  <dcterms:created xsi:type="dcterms:W3CDTF">2019-11-05T10:14:00Z</dcterms:created>
  <dcterms:modified xsi:type="dcterms:W3CDTF">2023-04-07T11:23:00Z</dcterms:modified>
</cp:coreProperties>
</file>