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1588" w:rsidRPr="00B540A9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EACF987" w:rsidR="00261588" w:rsidRPr="00B540A9" w:rsidRDefault="00261588" w:rsidP="00261588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F2E7C03" w:rsidR="00261588" w:rsidRPr="00B540A9" w:rsidRDefault="00261588" w:rsidP="00261588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1588" w:rsidRPr="00B540A9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F23B17B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75C6531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EA2FAC4" w14:textId="77777777" w:rsidR="00261588" w:rsidRDefault="00261588" w:rsidP="00261588">
            <w:pPr>
              <w:tabs>
                <w:tab w:val="left" w:pos="3555"/>
              </w:tabs>
              <w:spacing w:line="256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0F4E219" w:rsidR="00261588" w:rsidRPr="00B540A9" w:rsidRDefault="00261588" w:rsidP="00261588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20NU-162</w:t>
            </w:r>
          </w:p>
        </w:tc>
        <w:tc>
          <w:tcPr>
            <w:tcW w:w="3260" w:type="dxa"/>
          </w:tcPr>
          <w:p w14:paraId="1394AA19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94E3768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0BB9B4C" w:rsidR="00261588" w:rsidRPr="00B540A9" w:rsidRDefault="00261588" w:rsidP="00261588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20NU-162</w:t>
            </w:r>
          </w:p>
        </w:tc>
      </w:tr>
    </w:tbl>
    <w:p w14:paraId="100686DF" w14:textId="18BB6B20" w:rsidR="007A0127" w:rsidRPr="00B540A9" w:rsidRDefault="007A0127" w:rsidP="007A0127">
      <w:pPr>
        <w:spacing w:before="240"/>
        <w:ind w:left="397" w:hanging="397"/>
        <w:jc w:val="center"/>
        <w:textAlignment w:val="top"/>
        <w:rPr>
          <w:rFonts w:ascii="Trebuchet MS" w:hAnsi="Trebuchet MS" w:cs="Arial"/>
          <w:b/>
          <w:sz w:val="20"/>
          <w:szCs w:val="20"/>
        </w:rPr>
      </w:pPr>
      <w:r w:rsidRPr="00B540A9">
        <w:rPr>
          <w:rFonts w:ascii="Trebuchet MS" w:hAnsi="Trebuchet MS" w:cs="Arial"/>
          <w:b/>
          <w:sz w:val="20"/>
          <w:szCs w:val="20"/>
        </w:rPr>
        <w:t xml:space="preserve">STANDARTINIAI TECHNINIAI REIKALAVIMAI 400-330 kV ĮTAMPOS ORO LINIJŲ DISTANCINIAMS SPYRIAMS-VIBRACIJOS SLOPINTUVAMS / </w:t>
      </w:r>
    </w:p>
    <w:p w14:paraId="6570CC69" w14:textId="77777777" w:rsidR="007A0127" w:rsidRPr="00B540A9" w:rsidRDefault="007A0127" w:rsidP="007A0127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20"/>
          <w:szCs w:val="20"/>
        </w:rPr>
      </w:pPr>
      <w:r w:rsidRPr="00B540A9">
        <w:rPr>
          <w:rFonts w:ascii="Trebuchet MS" w:hAnsi="Trebuchet MS" w:cs="Arial"/>
          <w:b/>
          <w:sz w:val="20"/>
          <w:szCs w:val="20"/>
        </w:rPr>
        <w:t>STANDARD TECHNICAL REQUIREMENTS FOR 400-330 kV VOLTAGE RANGE OVERHEAD LINES SPACER DAMPERS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B540A9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B540A9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B540A9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B540A9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B540A9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B540A9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3C22A305" w:rsidR="00901AB5" w:rsidRPr="00B540A9" w:rsidRDefault="007A0127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3432FF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distanciniai spyriai-vibracijos slopintuvai </w:t>
            </w:r>
            <w:r w:rsidR="00902EB8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5B8E6DA" w:rsidR="00902EB8" w:rsidRPr="00B540A9" w:rsidRDefault="007A0127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902EB8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kV voltage range</w:t>
            </w:r>
            <w:r w:rsidR="007C2F47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overhead lines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spacer dampers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B540A9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B540A9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B540A9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B540A9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7A0127" w:rsidRPr="00B540A9" w14:paraId="7A0C547B" w14:textId="77777777" w:rsidTr="007A0127">
        <w:trPr>
          <w:cantSplit/>
        </w:trPr>
        <w:tc>
          <w:tcPr>
            <w:tcW w:w="710" w:type="dxa"/>
            <w:vAlign w:val="center"/>
          </w:tcPr>
          <w:p w14:paraId="7515453F" w14:textId="77777777" w:rsidR="007A0127" w:rsidRPr="00B540A9" w:rsidRDefault="007A0127" w:rsidP="007A012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8B1AF08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The manufacturer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's management system quality</w:t>
            </w:r>
            <w:r w:rsidRPr="00B540A9" w:rsidDel="003019C3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shall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be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0394B16F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B540A9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119929D8" w14:textId="77777777" w:rsidTr="007A0127">
        <w:trPr>
          <w:cantSplit/>
        </w:trPr>
        <w:tc>
          <w:tcPr>
            <w:tcW w:w="710" w:type="dxa"/>
            <w:vAlign w:val="center"/>
          </w:tcPr>
          <w:p w14:paraId="58DF7474" w14:textId="77777777" w:rsidR="007A0127" w:rsidRPr="00B540A9" w:rsidRDefault="007A0127" w:rsidP="007A012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A679589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Charakteristikos turi atitikti ir bandymai turi būti atlikti pagal/ Characteristics must comply and tests shall be done according to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72E09B08" w:rsidR="007A0127" w:rsidRPr="00B540A9" w:rsidRDefault="007A0127" w:rsidP="007A0127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LST EN 61854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ir/and d)</w:t>
            </w:r>
          </w:p>
        </w:tc>
        <w:tc>
          <w:tcPr>
            <w:tcW w:w="3687" w:type="dxa"/>
            <w:vAlign w:val="center"/>
          </w:tcPr>
          <w:p w14:paraId="3DF7A54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B540A9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B540A9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46255C" w:rsidRPr="00B540A9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7A0127" w:rsidRPr="00B540A9" w14:paraId="78890808" w14:textId="77777777" w:rsidTr="007A0127">
        <w:trPr>
          <w:cantSplit/>
        </w:trPr>
        <w:tc>
          <w:tcPr>
            <w:tcW w:w="710" w:type="dxa"/>
            <w:vAlign w:val="center"/>
          </w:tcPr>
          <w:p w14:paraId="2D1E378A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F36DFB9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Eksploatavimo sąlygos/ Operating conditions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6D440D53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 Outdoor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18D33599" w14:textId="77777777" w:rsidTr="007A0127">
        <w:trPr>
          <w:cantSplit/>
        </w:trPr>
        <w:tc>
          <w:tcPr>
            <w:tcW w:w="710" w:type="dxa"/>
            <w:vAlign w:val="center"/>
          </w:tcPr>
          <w:p w14:paraId="3C061D5B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6C02D40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Maksimali ilgalaikė laido įšilimo temperatūra ne mažesnė kaip/ Maximum long-term conductor heating temperature not less than, 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7594D314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+80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6C17E559" w14:textId="77777777" w:rsidTr="007A0127">
        <w:trPr>
          <w:cantSplit/>
        </w:trPr>
        <w:tc>
          <w:tcPr>
            <w:tcW w:w="710" w:type="dxa"/>
            <w:vAlign w:val="center"/>
          </w:tcPr>
          <w:p w14:paraId="79BBEE7E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69729682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Maksimali laido įšilimo temperatūra esant trumpajam jungimui ne mažesnė kaip/ Maximum heating temperature of conductor during short circuit not less than, 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6C04D6F6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+200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209D24EC" w14:textId="77777777" w:rsidTr="007A0127">
        <w:trPr>
          <w:cantSplit/>
        </w:trPr>
        <w:tc>
          <w:tcPr>
            <w:tcW w:w="710" w:type="dxa"/>
            <w:vAlign w:val="center"/>
          </w:tcPr>
          <w:p w14:paraId="6BC67AF2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5731A541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Minimali ilgalaikė eksploatavimo temperatūra ne aukštesnė kaip/ Lowest long term operating  temperature shall be not higher than,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6A6E54AF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-40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39678C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4BA5027B" w14:textId="77777777" w:rsidTr="007A0127">
        <w:trPr>
          <w:cantSplit/>
        </w:trPr>
        <w:tc>
          <w:tcPr>
            <w:tcW w:w="710" w:type="dxa"/>
            <w:vAlign w:val="center"/>
          </w:tcPr>
          <w:p w14:paraId="26ED818E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3AD38" w14:textId="77777777" w:rsidR="007A0127" w:rsidRPr="00B540A9" w:rsidRDefault="007A0127" w:rsidP="007A0127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7909098B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The maximum ice thickness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2"/>
            <w:vAlign w:val="center"/>
          </w:tcPr>
          <w:p w14:paraId="2A6643B8" w14:textId="6AC00F48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3040A57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charakteristikos:/ Electromechanical characteristics:</w:t>
            </w:r>
          </w:p>
        </w:tc>
      </w:tr>
      <w:tr w:rsidR="00182334" w:rsidRPr="00B540A9" w14:paraId="5ACE60FF" w14:textId="77777777" w:rsidTr="00182334">
        <w:trPr>
          <w:cantSplit/>
        </w:trPr>
        <w:tc>
          <w:tcPr>
            <w:tcW w:w="710" w:type="dxa"/>
            <w:vAlign w:val="center"/>
          </w:tcPr>
          <w:p w14:paraId="3AAD60E5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689531B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Konstrukcija/ Construction</w:t>
            </w:r>
          </w:p>
        </w:tc>
        <w:tc>
          <w:tcPr>
            <w:tcW w:w="3687" w:type="dxa"/>
            <w:gridSpan w:val="2"/>
            <w:vAlign w:val="center"/>
          </w:tcPr>
          <w:p w14:paraId="004A6ED2" w14:textId="3EA063EA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Korpusas, gnybtai, tarpinės ir tvirtinimo detalės (varžtai, poveržlės, veržlės)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 Body, clamps, insertions and fasteners (bolts, washers, nuts)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726D0EA2" w14:textId="77777777" w:rsidTr="00182334">
        <w:trPr>
          <w:cantSplit/>
        </w:trPr>
        <w:tc>
          <w:tcPr>
            <w:tcW w:w="710" w:type="dxa"/>
            <w:vAlign w:val="center"/>
          </w:tcPr>
          <w:p w14:paraId="3A6C0515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25D137" w14:textId="7777777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07D7F03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Highest voltage for equipment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(U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), kV</w:t>
            </w:r>
          </w:p>
        </w:tc>
        <w:tc>
          <w:tcPr>
            <w:tcW w:w="1843" w:type="dxa"/>
            <w:vAlign w:val="center"/>
          </w:tcPr>
          <w:p w14:paraId="414F0B7A" w14:textId="7777777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≥420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7C82E99" w14:textId="691350C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≥362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250F5FC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0A38A51A" w14:textId="77777777" w:rsidTr="00182334">
        <w:trPr>
          <w:cantSplit/>
        </w:trPr>
        <w:tc>
          <w:tcPr>
            <w:tcW w:w="710" w:type="dxa"/>
            <w:vAlign w:val="center"/>
          </w:tcPr>
          <w:p w14:paraId="5CD74F44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07453BF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Vardinis dažnis/ Rated frequency , Hz</w:t>
            </w:r>
          </w:p>
        </w:tc>
        <w:tc>
          <w:tcPr>
            <w:tcW w:w="3687" w:type="dxa"/>
            <w:gridSpan w:val="2"/>
            <w:vAlign w:val="center"/>
          </w:tcPr>
          <w:p w14:paraId="2B78B6DB" w14:textId="061978AD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0DF1DD06" w14:textId="77777777" w:rsidTr="00182334">
        <w:trPr>
          <w:cantSplit/>
        </w:trPr>
        <w:tc>
          <w:tcPr>
            <w:tcW w:w="710" w:type="dxa"/>
            <w:vAlign w:val="center"/>
          </w:tcPr>
          <w:p w14:paraId="3A2297DC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59DA1B93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Elektrinis atsparumas trumpojo jungimo (t≥1s) srovei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/ Withstand to short circuit (t≥1s) current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, kA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5416B2B6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eastAsia="TTE2t00" w:hAnsi="Trebuchet MS" w:cs="Arial"/>
                <w:sz w:val="20"/>
                <w:szCs w:val="20"/>
              </w:rPr>
              <w:t>≥31,5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456B28E3" w14:textId="77777777" w:rsidTr="00182334">
        <w:trPr>
          <w:cantSplit/>
        </w:trPr>
        <w:tc>
          <w:tcPr>
            <w:tcW w:w="710" w:type="dxa"/>
            <w:vAlign w:val="center"/>
          </w:tcPr>
          <w:p w14:paraId="12B8F577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F60BEC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Korpuso ir gnybtų medžiaga/ Body and clamps material</w:t>
            </w:r>
          </w:p>
        </w:tc>
        <w:tc>
          <w:tcPr>
            <w:tcW w:w="3687" w:type="dxa"/>
            <w:gridSpan w:val="2"/>
            <w:vAlign w:val="center"/>
          </w:tcPr>
          <w:p w14:paraId="11278BC7" w14:textId="03106861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lydinys (angl. AA)</w:t>
            </w:r>
            <w:r w:rsidRPr="00B540A9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color w:val="000000"/>
                <w:sz w:val="20"/>
                <w:szCs w:val="20"/>
              </w:rPr>
              <w:t>/ Aluminium alloy (AA)</w:t>
            </w:r>
            <w:r w:rsidRPr="00B540A9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1B2A573E" w14:textId="77777777" w:rsidTr="00182334">
        <w:trPr>
          <w:cantSplit/>
        </w:trPr>
        <w:tc>
          <w:tcPr>
            <w:tcW w:w="710" w:type="dxa"/>
            <w:vAlign w:val="center"/>
          </w:tcPr>
          <w:p w14:paraId="3B0C5F56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780F4C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Tarpinių įvorių medžiaga/ Bushings material</w:t>
            </w:r>
          </w:p>
        </w:tc>
        <w:tc>
          <w:tcPr>
            <w:tcW w:w="3687" w:type="dxa"/>
            <w:gridSpan w:val="2"/>
            <w:vAlign w:val="center"/>
          </w:tcPr>
          <w:p w14:paraId="24B5FE49" w14:textId="193A6DB4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bCs/>
                <w:sz w:val="20"/>
                <w:szCs w:val="20"/>
              </w:rPr>
              <w:t>Elastomeras/ Elastomer</w:t>
            </w:r>
          </w:p>
        </w:tc>
        <w:tc>
          <w:tcPr>
            <w:tcW w:w="3687" w:type="dxa"/>
            <w:vAlign w:val="center"/>
          </w:tcPr>
          <w:p w14:paraId="74E90843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2C729381" w14:textId="77777777" w:rsidTr="00182334">
        <w:trPr>
          <w:cantSplit/>
        </w:trPr>
        <w:tc>
          <w:tcPr>
            <w:tcW w:w="710" w:type="dxa"/>
            <w:vAlign w:val="center"/>
          </w:tcPr>
          <w:p w14:paraId="4261A5BD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18F57D9" w:rsidR="00182334" w:rsidRPr="00B540A9" w:rsidRDefault="00182334" w:rsidP="0018233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 xml:space="preserve">Tvirtinimo detalių (varžtų, poveržlių, veržlių) medžiaga/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Fasteners (bolts, washers, nuts) material</w:t>
            </w:r>
          </w:p>
        </w:tc>
        <w:tc>
          <w:tcPr>
            <w:tcW w:w="3687" w:type="dxa"/>
            <w:gridSpan w:val="2"/>
            <w:vAlign w:val="center"/>
          </w:tcPr>
          <w:p w14:paraId="232A0849" w14:textId="5D83B31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1E8C941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Stainless steel or hot-dip galvanized steel according to LST EN ISO 1461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78CCDB6D" w14:textId="77777777" w:rsidTr="00182334">
        <w:trPr>
          <w:cantSplit/>
        </w:trPr>
        <w:tc>
          <w:tcPr>
            <w:tcW w:w="710" w:type="dxa"/>
            <w:vAlign w:val="center"/>
          </w:tcPr>
          <w:p w14:paraId="09FF31D4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1219F95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Minimali tvirtinimo detalių (varžtų, poveržlių, veržlių) nerūdijančio plieno rūšis ir klasė pagal LST EN ISO 3506/ Minimum stainless steel of the fasteners (bolts, washers, nuts) grade and class according LST EN ISO 3506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5BBBA8E5" w:rsidR="00182334" w:rsidRPr="00B540A9" w:rsidRDefault="00182334" w:rsidP="0049348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537858BF" w14:textId="77777777" w:rsidTr="00182334">
        <w:trPr>
          <w:cantSplit/>
        </w:trPr>
        <w:tc>
          <w:tcPr>
            <w:tcW w:w="710" w:type="dxa"/>
            <w:vAlign w:val="center"/>
          </w:tcPr>
          <w:p w14:paraId="2CCD216C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27AFE426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Gnybtai turi būti pažymėti pagal/ The clamps shall be marked according to</w:t>
            </w:r>
          </w:p>
        </w:tc>
        <w:tc>
          <w:tcPr>
            <w:tcW w:w="3687" w:type="dxa"/>
            <w:gridSpan w:val="2"/>
            <w:vAlign w:val="center"/>
          </w:tcPr>
          <w:p w14:paraId="0049E4FE" w14:textId="50A10EB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2B70E0F1" w14:textId="77777777" w:rsidTr="00182334">
        <w:trPr>
          <w:cantSplit/>
        </w:trPr>
        <w:tc>
          <w:tcPr>
            <w:tcW w:w="710" w:type="dxa"/>
            <w:vAlign w:val="center"/>
          </w:tcPr>
          <w:p w14:paraId="6540AC73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1D058E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Tvirtinimo detalės (varžtai ir veržlės) turi būti pažymėtos pagal/ Fasteners  (bolts and nuts) shall be marked according to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50EF5A40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EN ISO 3506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B540A9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B540A9" w14:paraId="014A2DB6" w14:textId="77777777" w:rsidTr="00A71AC1">
        <w:tc>
          <w:tcPr>
            <w:tcW w:w="15168" w:type="dxa"/>
            <w:vAlign w:val="center"/>
          </w:tcPr>
          <w:p w14:paraId="2EBEE6B0" w14:textId="77777777" w:rsidR="00B540A9" w:rsidRPr="00B540A9" w:rsidRDefault="00B540A9" w:rsidP="00B540A9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Pastabos/ Notes:</w:t>
            </w:r>
          </w:p>
          <w:p w14:paraId="6CA4CC92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Gamintojas gali vadovautis standartais ir sertifikatais lygiaverčiais šiuose reikalavimuose nurodytiems LST EN, LST EN ISO standartams ir ISO sertifikatams/ The manufacturer may follow the standards and certificates equivalent to LST EN, LST EN ISO standards and ISO certificates specified in these requirements</w:t>
            </w:r>
          </w:p>
          <w:p w14:paraId="0948E6B1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CC6CC46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Values can be adjusted in a process of a design but only to more severe conditions;</w:t>
            </w:r>
          </w:p>
          <w:p w14:paraId="01976736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 neturi viršyti IEC 60038 standartinės 550kV arba 420kV įtampos/ Highest voltage for equipment specified in paragraph 3.2 may not exceed IEC 60038 standard voltage of 550kV or 420 kV;</w:t>
            </w:r>
          </w:p>
          <w:p w14:paraId="285F2490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</w:rPr>
            </w:pPr>
          </w:p>
          <w:p w14:paraId="650A66A7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Rangovo teikiama dokumentacija reikalaujamo parametro atitikimo pagrindimui/ Documentation provided by the contractor to justify required parameter of the equipment:</w:t>
            </w:r>
          </w:p>
          <w:p w14:paraId="5B10FECD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360BF6CF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a) Įrenginio gamintojo katalogo ir/ar techninių parametrų suvestinės, ir/ar brėžinio kopija/ Copy of the equipment‘s manufacturer catalogue and/or summary of technical parameters, and/or drawing of the equipment;</w:t>
            </w:r>
          </w:p>
          <w:p w14:paraId="0408321A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b) Sertifikato kopija/ copy of the certificate;</w:t>
            </w:r>
          </w:p>
          <w:p w14:paraId="4976CD30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c) Gamintojo atitikties deklaracija/ Manufacturer’s declaration of conformity;</w:t>
            </w:r>
          </w:p>
          <w:p w14:paraId="0EFFAADA" w14:textId="6DAA77B0" w:rsidR="001220FF" w:rsidRPr="00B540A9" w:rsidRDefault="00B540A9" w:rsidP="00B540A9">
            <w:pPr>
              <w:rPr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d) Tipo bandymų protokolo kopija/ Copy of the type test protocol.</w:t>
            </w:r>
          </w:p>
        </w:tc>
      </w:tr>
    </w:tbl>
    <w:p w14:paraId="271E0849" w14:textId="2FDD7904" w:rsidR="000C3440" w:rsidRPr="00B540A9" w:rsidRDefault="000C3440">
      <w:pPr>
        <w:spacing w:after="160" w:line="259" w:lineRule="auto"/>
      </w:pPr>
    </w:p>
    <w:sectPr w:rsidR="000C3440" w:rsidRPr="00B540A9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E912B" w14:textId="77777777" w:rsidR="0025185F" w:rsidRDefault="0025185F" w:rsidP="009137D7">
      <w:r>
        <w:separator/>
      </w:r>
    </w:p>
  </w:endnote>
  <w:endnote w:type="continuationSeparator" w:id="0">
    <w:p w14:paraId="045AC728" w14:textId="77777777" w:rsidR="0025185F" w:rsidRDefault="0025185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3AA52727" w14:textId="77777777" w:rsidR="00CC179B" w:rsidRPr="00CC179B" w:rsidRDefault="00CC179B" w:rsidP="00CC179B">
        <w:pPr>
          <w:rPr>
            <w:rFonts w:ascii="Trebuchet MS" w:hAnsi="Trebuchet MS"/>
            <w:sz w:val="14"/>
            <w:szCs w:val="14"/>
          </w:rPr>
        </w:pPr>
        <w:r w:rsidRPr="00CC179B">
          <w:rPr>
            <w:rFonts w:ascii="Trebuchet MS" w:hAnsi="Trebuchet MS"/>
            <w:sz w:val="14"/>
            <w:szCs w:val="14"/>
          </w:rPr>
          <w:t xml:space="preserve">STANDARTINIAI TECHNINIAI REIKALAVIMAI 400-330 kV ĮTAMPOS ORO LINIJŲ DISTANCINIAMS SPYRIAMS-VIBRACIJOS SLOPINTUVAMS / </w:t>
        </w:r>
      </w:p>
      <w:p w14:paraId="6CDBCB8C" w14:textId="77777777" w:rsidR="00CC179B" w:rsidRPr="00CC179B" w:rsidRDefault="00CC179B" w:rsidP="00CC179B">
        <w:pPr>
          <w:rPr>
            <w:rFonts w:ascii="Trebuchet MS" w:hAnsi="Trebuchet MS"/>
            <w:sz w:val="14"/>
            <w:szCs w:val="14"/>
          </w:rPr>
        </w:pPr>
        <w:r w:rsidRPr="00CC179B">
          <w:rPr>
            <w:rFonts w:ascii="Trebuchet MS" w:hAnsi="Trebuchet MS"/>
            <w:sz w:val="14"/>
            <w:szCs w:val="14"/>
          </w:rPr>
          <w:t>STANDARD TECHNICAL REQUIREMENTS FOR 400-330 kV VOLTAGE RANGE OVERHEAD LINES SPACER DAMPERS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B2863" w14:textId="77777777" w:rsidR="0025185F" w:rsidRDefault="0025185F" w:rsidP="009137D7">
      <w:r>
        <w:separator/>
      </w:r>
    </w:p>
  </w:footnote>
  <w:footnote w:type="continuationSeparator" w:id="0">
    <w:p w14:paraId="043460DA" w14:textId="77777777" w:rsidR="0025185F" w:rsidRDefault="0025185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4A60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334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185F"/>
    <w:rsid w:val="002549B4"/>
    <w:rsid w:val="002600BD"/>
    <w:rsid w:val="00261588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BF7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3F601D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487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10E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0127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40A9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179B"/>
    <w:rsid w:val="00CD67F3"/>
    <w:rsid w:val="00CD6A3A"/>
    <w:rsid w:val="00CE4107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C0B119-8D0F-4B2C-9519-8FFB97040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5BFA9-DD9D-47EE-A8C0-DA257CFE6EBD}"/>
</file>

<file path=customXml/itemProps3.xml><?xml version="1.0" encoding="utf-8"?>
<ds:datastoreItem xmlns:ds="http://schemas.openxmlformats.org/officeDocument/2006/customXml" ds:itemID="{497DCEB3-763B-48FC-A1B4-7C0BFB5E9414}"/>
</file>

<file path=customXml/itemProps4.xml><?xml version="1.0" encoding="utf-8"?>
<ds:datastoreItem xmlns:ds="http://schemas.openxmlformats.org/officeDocument/2006/customXml" ds:itemID="{ED7502F4-89CA-4D34-96BA-EEB679B52A7A}"/>
</file>

<file path=customXml/itemProps5.xml><?xml version="1.0" encoding="utf-8"?>
<ds:datastoreItem xmlns:ds="http://schemas.openxmlformats.org/officeDocument/2006/customXml" ds:itemID="{61DE6927-79C4-45DC-9909-213D9EAD1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016f8849-3980-4163-b200-6df86f925457</vt:lpwstr>
  </property>
  <property fmtid="{D5CDD505-2E9C-101B-9397-08002B2CF9AE}" pid="3" name="ContentTypeId">
    <vt:lpwstr>0x010100B0F58ADA092FE948926259E02A5CBCEA</vt:lpwstr>
  </property>
</Properties>
</file>