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C7935" w14:textId="3C8E0129" w:rsidR="00EF0074" w:rsidRDefault="00EF0074" w:rsidP="00EF0074">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PASIŪLYMAS</w:t>
      </w:r>
      <w:r w:rsidR="00114C10">
        <w:rPr>
          <w:rFonts w:ascii="Arial" w:hAnsi="Arial" w:cs="Arial"/>
          <w:b/>
          <w:bCs/>
          <w:sz w:val="20"/>
          <w:szCs w:val="20"/>
          <w:u w:val="none"/>
          <w:lang w:val="lt-LT"/>
        </w:rPr>
        <w:t xml:space="preserve"> VIEŠŲJŲ PRYŠIŲ</w:t>
      </w:r>
      <w:r w:rsidR="00DD72B3">
        <w:rPr>
          <w:rFonts w:ascii="Arial" w:hAnsi="Arial" w:cs="Arial"/>
          <w:b/>
          <w:bCs/>
          <w:i/>
          <w:iCs/>
          <w:color w:val="FF0000"/>
          <w:sz w:val="20"/>
          <w:szCs w:val="20"/>
          <w:u w:val="none"/>
          <w:lang w:val="lt-LT"/>
        </w:rPr>
        <w:t xml:space="preserve"> </w:t>
      </w:r>
      <w:r w:rsidRPr="00D87B93">
        <w:rPr>
          <w:rFonts w:ascii="Arial" w:hAnsi="Arial" w:cs="Arial"/>
          <w:b/>
          <w:bCs/>
          <w:sz w:val="20"/>
          <w:szCs w:val="20"/>
          <w:u w:val="none"/>
          <w:lang w:val="lt-LT"/>
        </w:rPr>
        <w:t xml:space="preserve">PASLAUGŲ </w:t>
      </w:r>
      <w:r w:rsidRPr="004903E5">
        <w:rPr>
          <w:rFonts w:ascii="Arial" w:hAnsi="Arial" w:cs="Arial"/>
          <w:b/>
          <w:bCs/>
          <w:sz w:val="20"/>
          <w:szCs w:val="20"/>
          <w:u w:val="none"/>
          <w:lang w:val="lt-LT"/>
        </w:rPr>
        <w:t>PIRKIMUI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2"/>
        <w:gridCol w:w="5022"/>
      </w:tblGrid>
      <w:tr w:rsidR="00927BD7" w:rsidRPr="004903E5" w14:paraId="6B663F76" w14:textId="77777777" w:rsidTr="00EF0074">
        <w:trPr>
          <w:trHeight w:val="354"/>
        </w:trPr>
        <w:tc>
          <w:tcPr>
            <w:tcW w:w="4702" w:type="dxa"/>
            <w:tcBorders>
              <w:top w:val="single" w:sz="4" w:space="0" w:color="auto"/>
              <w:left w:val="single" w:sz="4" w:space="0" w:color="auto"/>
              <w:bottom w:val="single" w:sz="4" w:space="0" w:color="auto"/>
              <w:right w:val="single" w:sz="4" w:space="0" w:color="auto"/>
            </w:tcBorders>
            <w:hideMark/>
          </w:tcPr>
          <w:p w14:paraId="63AB6C1E" w14:textId="09BA3A0F" w:rsidR="00927BD7" w:rsidRPr="004903E5" w:rsidRDefault="00927BD7" w:rsidP="00927BD7">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5022" w:type="dxa"/>
            <w:tcBorders>
              <w:top w:val="single" w:sz="4" w:space="0" w:color="auto"/>
              <w:left w:val="single" w:sz="4" w:space="0" w:color="auto"/>
              <w:bottom w:val="single" w:sz="4" w:space="0" w:color="auto"/>
              <w:right w:val="single" w:sz="4" w:space="0" w:color="auto"/>
            </w:tcBorders>
          </w:tcPr>
          <w:p w14:paraId="425FAC6A" w14:textId="6771AB88" w:rsidR="00927BD7" w:rsidRPr="004903E5" w:rsidRDefault="00927BD7" w:rsidP="00927BD7">
            <w:pPr>
              <w:spacing w:before="60" w:after="60"/>
              <w:jc w:val="both"/>
              <w:rPr>
                <w:rFonts w:ascii="Arial" w:hAnsi="Arial" w:cs="Arial"/>
                <w:sz w:val="20"/>
                <w:szCs w:val="20"/>
              </w:rPr>
            </w:pPr>
            <w:r w:rsidRPr="00927BD7">
              <w:rPr>
                <w:rFonts w:ascii="Arial" w:hAnsi="Arial" w:cs="Arial"/>
                <w:sz w:val="20"/>
                <w:szCs w:val="20"/>
              </w:rPr>
              <w:t>UAB „Ignitis grupės paslaugų centras“</w:t>
            </w:r>
          </w:p>
        </w:tc>
      </w:tr>
      <w:tr w:rsidR="00927BD7" w:rsidRPr="004903E5" w14:paraId="4DE8240F" w14:textId="77777777" w:rsidTr="00EF0074">
        <w:trPr>
          <w:trHeight w:val="354"/>
        </w:trPr>
        <w:tc>
          <w:tcPr>
            <w:tcW w:w="4702" w:type="dxa"/>
            <w:tcBorders>
              <w:top w:val="single" w:sz="4" w:space="0" w:color="auto"/>
              <w:left w:val="single" w:sz="4" w:space="0" w:color="auto"/>
              <w:bottom w:val="single" w:sz="4" w:space="0" w:color="auto"/>
              <w:right w:val="single" w:sz="4" w:space="0" w:color="auto"/>
            </w:tcBorders>
          </w:tcPr>
          <w:p w14:paraId="0320DE32" w14:textId="68457AA0" w:rsidR="00927BD7" w:rsidRPr="00786D40" w:rsidRDefault="00927BD7" w:rsidP="00927BD7">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5022" w:type="dxa"/>
            <w:tcBorders>
              <w:top w:val="single" w:sz="4" w:space="0" w:color="auto"/>
              <w:left w:val="single" w:sz="4" w:space="0" w:color="auto"/>
              <w:bottom w:val="single" w:sz="4" w:space="0" w:color="auto"/>
              <w:right w:val="single" w:sz="4" w:space="0" w:color="auto"/>
            </w:tcBorders>
          </w:tcPr>
          <w:p w14:paraId="1EF8E7FA" w14:textId="0ECE6E08" w:rsidR="00927BD7" w:rsidRPr="004903E5" w:rsidRDefault="00927BD7" w:rsidP="00927BD7">
            <w:pPr>
              <w:spacing w:before="60" w:after="60"/>
              <w:jc w:val="both"/>
              <w:rPr>
                <w:rFonts w:ascii="Arial" w:hAnsi="Arial" w:cs="Arial"/>
                <w:sz w:val="20"/>
                <w:szCs w:val="20"/>
              </w:rPr>
            </w:pPr>
            <w:r w:rsidRPr="00927BD7">
              <w:rPr>
                <w:rFonts w:ascii="Arial" w:hAnsi="Arial" w:cs="Arial"/>
                <w:sz w:val="20"/>
                <w:szCs w:val="20"/>
              </w:rPr>
              <w:t>303200016</w:t>
            </w:r>
          </w:p>
        </w:tc>
      </w:tr>
      <w:tr w:rsidR="00927BD7" w:rsidRPr="004903E5" w14:paraId="21E18079" w14:textId="77777777" w:rsidTr="00EF0074">
        <w:trPr>
          <w:trHeight w:val="365"/>
        </w:trPr>
        <w:tc>
          <w:tcPr>
            <w:tcW w:w="4702" w:type="dxa"/>
            <w:tcBorders>
              <w:top w:val="single" w:sz="4" w:space="0" w:color="auto"/>
              <w:left w:val="single" w:sz="4" w:space="0" w:color="auto"/>
              <w:bottom w:val="single" w:sz="4" w:space="0" w:color="auto"/>
              <w:right w:val="single" w:sz="4" w:space="0" w:color="auto"/>
            </w:tcBorders>
          </w:tcPr>
          <w:p w14:paraId="4C9D93B8" w14:textId="3E1446CC" w:rsidR="00927BD7" w:rsidRPr="004903E5" w:rsidRDefault="00927BD7" w:rsidP="00927BD7">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5022" w:type="dxa"/>
            <w:tcBorders>
              <w:top w:val="single" w:sz="4" w:space="0" w:color="auto"/>
              <w:left w:val="single" w:sz="4" w:space="0" w:color="auto"/>
              <w:bottom w:val="single" w:sz="4" w:space="0" w:color="auto"/>
              <w:right w:val="single" w:sz="4" w:space="0" w:color="auto"/>
            </w:tcBorders>
          </w:tcPr>
          <w:p w14:paraId="5438CB71" w14:textId="32D795DA" w:rsidR="00927BD7" w:rsidRPr="004903E5" w:rsidRDefault="00927BD7" w:rsidP="00927BD7">
            <w:pPr>
              <w:spacing w:before="60" w:after="60"/>
              <w:jc w:val="both"/>
              <w:rPr>
                <w:rFonts w:ascii="Arial" w:hAnsi="Arial" w:cs="Arial"/>
                <w:sz w:val="20"/>
                <w:szCs w:val="20"/>
              </w:rPr>
            </w:pPr>
          </w:p>
        </w:tc>
      </w:tr>
      <w:tr w:rsidR="00927BD7" w:rsidRPr="004903E5" w14:paraId="14233AEF" w14:textId="77777777" w:rsidTr="00EF0074">
        <w:trPr>
          <w:trHeight w:val="354"/>
        </w:trPr>
        <w:tc>
          <w:tcPr>
            <w:tcW w:w="4702" w:type="dxa"/>
            <w:tcBorders>
              <w:top w:val="single" w:sz="4" w:space="0" w:color="auto"/>
              <w:left w:val="single" w:sz="4" w:space="0" w:color="auto"/>
              <w:bottom w:val="single" w:sz="4" w:space="0" w:color="auto"/>
              <w:right w:val="single" w:sz="4" w:space="0" w:color="auto"/>
            </w:tcBorders>
          </w:tcPr>
          <w:p w14:paraId="2CD70CC0" w14:textId="34E8BAC5" w:rsidR="00927BD7" w:rsidRPr="00786D40" w:rsidRDefault="00927BD7" w:rsidP="00927BD7">
            <w:pPr>
              <w:spacing w:before="60" w:after="60"/>
              <w:jc w:val="both"/>
              <w:rPr>
                <w:rFonts w:ascii="Arial" w:hAnsi="Arial" w:cs="Arial"/>
                <w:sz w:val="20"/>
                <w:szCs w:val="20"/>
              </w:rPr>
            </w:pPr>
            <w:r w:rsidRPr="00786D40">
              <w:rPr>
                <w:rFonts w:ascii="Arial" w:hAnsi="Arial" w:cs="Arial"/>
                <w:sz w:val="20"/>
                <w:szCs w:val="20"/>
              </w:rPr>
              <w:t>Telefono Nr.</w:t>
            </w:r>
          </w:p>
        </w:tc>
        <w:tc>
          <w:tcPr>
            <w:tcW w:w="5022" w:type="dxa"/>
            <w:tcBorders>
              <w:top w:val="single" w:sz="4" w:space="0" w:color="auto"/>
              <w:left w:val="single" w:sz="4" w:space="0" w:color="auto"/>
              <w:bottom w:val="single" w:sz="4" w:space="0" w:color="auto"/>
              <w:right w:val="single" w:sz="4" w:space="0" w:color="auto"/>
            </w:tcBorders>
          </w:tcPr>
          <w:p w14:paraId="5110FF69" w14:textId="139C9075" w:rsidR="00927BD7" w:rsidRPr="004903E5" w:rsidRDefault="00927BD7" w:rsidP="00927BD7">
            <w:pPr>
              <w:spacing w:before="60" w:after="60"/>
              <w:jc w:val="both"/>
              <w:rPr>
                <w:rFonts w:ascii="Arial" w:hAnsi="Arial" w:cs="Arial"/>
                <w:sz w:val="20"/>
                <w:szCs w:val="20"/>
              </w:rPr>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7C61E992"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7D0BF4">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w:t>
      </w:r>
      <w:r w:rsidR="007D0BF4">
        <w:rPr>
          <w:rFonts w:ascii="Arial" w:hAnsi="Arial" w:cs="Arial"/>
          <w:sz w:val="20"/>
          <w:szCs w:val="20"/>
        </w:rPr>
        <w:t>p</w:t>
      </w:r>
      <w:r w:rsidRPr="004903E5">
        <w:rPr>
          <w:rFonts w:ascii="Arial" w:hAnsi="Arial" w:cs="Arial"/>
          <w:sz w:val="20"/>
          <w:szCs w:val="20"/>
        </w:rPr>
        <w:t xml:space="preserve">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w:t>
      </w:r>
      <w:r w:rsidR="007D0BF4">
        <w:rPr>
          <w:rFonts w:ascii="Arial" w:hAnsi="Arial" w:cs="Arial"/>
          <w:sz w:val="20"/>
          <w:szCs w:val="20"/>
        </w:rPr>
        <w:t>p</w:t>
      </w:r>
      <w:r w:rsidR="0092632D" w:rsidRPr="004903E5">
        <w:rPr>
          <w:rFonts w:ascii="Arial" w:hAnsi="Arial" w:cs="Arial"/>
          <w:sz w:val="20"/>
          <w:szCs w:val="20"/>
        </w:rPr>
        <w:t>irkimo procedūromis</w:t>
      </w:r>
      <w:r w:rsidR="00317B50">
        <w:rPr>
          <w:rFonts w:ascii="Arial" w:hAnsi="Arial" w:cs="Arial"/>
          <w:sz w:val="20"/>
          <w:szCs w:val="20"/>
        </w:rPr>
        <w:t>.</w:t>
      </w:r>
    </w:p>
    <w:p w14:paraId="497420C8" w14:textId="41A7FC8D"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 xml:space="preserve">visus </w:t>
      </w:r>
      <w:r w:rsidR="007D0BF4">
        <w:rPr>
          <w:rFonts w:ascii="Arial" w:hAnsi="Arial" w:cs="Arial"/>
          <w:sz w:val="20"/>
          <w:szCs w:val="20"/>
        </w:rPr>
        <w:t>p</w:t>
      </w:r>
      <w:r w:rsidR="0029279C" w:rsidRPr="004903E5">
        <w:rPr>
          <w:rFonts w:ascii="Arial" w:hAnsi="Arial" w:cs="Arial"/>
          <w:sz w:val="20"/>
          <w:szCs w:val="20"/>
        </w:rPr>
        <w:t>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w:t>
      </w:r>
      <w:r w:rsidR="007D0BF4">
        <w:rPr>
          <w:rFonts w:ascii="Arial" w:hAnsi="Arial" w:cs="Arial"/>
          <w:sz w:val="20"/>
          <w:szCs w:val="20"/>
        </w:rPr>
        <w:t>t</w:t>
      </w:r>
      <w:r w:rsidR="00CB215F" w:rsidRPr="004903E5">
        <w:rPr>
          <w:rFonts w:ascii="Arial" w:hAnsi="Arial" w:cs="Arial"/>
          <w:sz w:val="20"/>
          <w:szCs w:val="20"/>
        </w:rPr>
        <w: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 xml:space="preserve">mūsų </w:t>
      </w:r>
      <w:r w:rsidR="007D0BF4">
        <w:rPr>
          <w:rFonts w:ascii="Arial" w:hAnsi="Arial" w:cs="Arial"/>
          <w:sz w:val="20"/>
          <w:szCs w:val="20"/>
        </w:rPr>
        <w:t>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 xml:space="preserve">vykdydami </w:t>
      </w:r>
      <w:r w:rsidR="007D0BF4">
        <w:rPr>
          <w:rFonts w:ascii="Arial" w:hAnsi="Arial" w:cs="Arial"/>
          <w:sz w:val="20"/>
          <w:szCs w:val="20"/>
        </w:rPr>
        <w:t>s</w:t>
      </w:r>
      <w:r w:rsidR="005D020D" w:rsidRPr="004903E5">
        <w:rPr>
          <w:rFonts w:ascii="Arial" w:hAnsi="Arial" w:cs="Arial"/>
          <w:sz w:val="20"/>
          <w:szCs w:val="20"/>
        </w:rPr>
        <w:t>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w:t>
      </w:r>
      <w:r w:rsidR="007D0BF4">
        <w:rPr>
          <w:rFonts w:ascii="Arial" w:hAnsi="Arial" w:cs="Arial"/>
          <w:sz w:val="20"/>
          <w:szCs w:val="20"/>
        </w:rPr>
        <w:t>p</w:t>
      </w:r>
      <w:r w:rsidR="00094256" w:rsidRPr="00206C98">
        <w:rPr>
          <w:rFonts w:ascii="Arial" w:hAnsi="Arial" w:cs="Arial"/>
          <w:sz w:val="20"/>
          <w:szCs w:val="20"/>
        </w:rPr>
        <w:t xml:space="preserve">irkimo objektui </w:t>
      </w:r>
      <w:r w:rsidR="00376C3C" w:rsidRPr="00332A69">
        <w:rPr>
          <w:rFonts w:ascii="Arial" w:hAnsi="Arial" w:cs="Arial"/>
          <w:sz w:val="20"/>
          <w:szCs w:val="20"/>
        </w:rPr>
        <w:t xml:space="preserve">bei </w:t>
      </w:r>
      <w:r w:rsidR="007D0BF4">
        <w:rPr>
          <w:rFonts w:ascii="Arial" w:hAnsi="Arial" w:cs="Arial"/>
          <w:sz w:val="20"/>
          <w:szCs w:val="20"/>
        </w:rPr>
        <w:t>s</w:t>
      </w:r>
      <w:r w:rsidR="00376C3C" w:rsidRPr="00332A69">
        <w:rPr>
          <w:rFonts w:ascii="Arial" w:hAnsi="Arial" w:cs="Arial"/>
          <w:sz w:val="20"/>
          <w:szCs w:val="20"/>
        </w:rPr>
        <w:t>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 xml:space="preserve">Rengdami </w:t>
      </w:r>
      <w:r w:rsidR="007D0BF4">
        <w:rPr>
          <w:rFonts w:ascii="Arial" w:hAnsi="Arial" w:cs="Arial"/>
          <w:sz w:val="20"/>
          <w:szCs w:val="20"/>
        </w:rPr>
        <w:t>p</w:t>
      </w:r>
      <w:r w:rsidR="00CB215F" w:rsidRPr="004903E5">
        <w:rPr>
          <w:rFonts w:ascii="Arial" w:hAnsi="Arial" w:cs="Arial"/>
          <w:sz w:val="20"/>
          <w:szCs w:val="20"/>
        </w:rPr>
        <w:t>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0BAC6C38" w:rsidR="006F31C5" w:rsidRDefault="006F31C5" w:rsidP="006F31C5">
      <w:pPr>
        <w:pStyle w:val="Heading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sidR="00BD091C">
        <w:rPr>
          <w:rFonts w:ascii="Arial" w:hAnsi="Arial" w:cs="Arial"/>
          <w:b/>
          <w:bCs/>
          <w:sz w:val="20"/>
          <w:szCs w:val="20"/>
        </w:rPr>
        <w:t>B</w:t>
      </w:r>
      <w:r>
        <w:rPr>
          <w:rFonts w:ascii="Arial" w:hAnsi="Arial" w:cs="Arial"/>
          <w:b/>
          <w:bCs/>
          <w:sz w:val="20"/>
          <w:szCs w:val="20"/>
        </w:rPr>
        <w:t>TIEKĖJUS</w:t>
      </w:r>
    </w:p>
    <w:p w14:paraId="7AE626F5" w14:textId="18551A15"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w:t>
      </w:r>
      <w:r w:rsidR="007D0BF4">
        <w:rPr>
          <w:rFonts w:ascii="Arial" w:hAnsi="Arial" w:cs="Arial"/>
          <w:sz w:val="20"/>
          <w:szCs w:val="20"/>
        </w:rPr>
        <w:t>s</w:t>
      </w:r>
      <w:r w:rsidRPr="00A85F54">
        <w:rPr>
          <w:rFonts w:ascii="Arial" w:hAnsi="Arial" w:cs="Arial"/>
          <w:sz w:val="20"/>
          <w:szCs w:val="20"/>
        </w:rPr>
        <w:t xml:space="preserve">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9708" w:type="dxa"/>
        <w:tblLook w:val="04A0" w:firstRow="1" w:lastRow="0" w:firstColumn="1" w:lastColumn="0" w:noHBand="0" w:noVBand="1"/>
      </w:tblPr>
      <w:tblGrid>
        <w:gridCol w:w="913"/>
        <w:gridCol w:w="3341"/>
        <w:gridCol w:w="5454"/>
      </w:tblGrid>
      <w:tr w:rsidR="00C71786" w:rsidRPr="00A11EA0" w14:paraId="74AB8D68" w14:textId="77777777" w:rsidTr="00C71786">
        <w:trPr>
          <w:trHeight w:val="12"/>
        </w:trPr>
        <w:tc>
          <w:tcPr>
            <w:tcW w:w="913" w:type="dxa"/>
            <w:vAlign w:val="center"/>
          </w:tcPr>
          <w:p w14:paraId="5D6BDD7D" w14:textId="77777777" w:rsidR="00C71786" w:rsidRPr="00A11EA0" w:rsidRDefault="00C71786" w:rsidP="00940F14">
            <w:pPr>
              <w:jc w:val="center"/>
              <w:rPr>
                <w:rFonts w:ascii="Arial" w:hAnsi="Arial" w:cs="Arial"/>
                <w:b/>
                <w:sz w:val="20"/>
                <w:szCs w:val="20"/>
                <w:lang w:eastAsia="en-US"/>
              </w:rPr>
            </w:pPr>
            <w:r w:rsidRPr="00A11EA0">
              <w:rPr>
                <w:rFonts w:ascii="Arial" w:hAnsi="Arial" w:cs="Arial"/>
                <w:b/>
                <w:sz w:val="20"/>
                <w:szCs w:val="20"/>
                <w:lang w:eastAsia="en-US"/>
              </w:rPr>
              <w:t>Eil. Nr.</w:t>
            </w:r>
          </w:p>
        </w:tc>
        <w:tc>
          <w:tcPr>
            <w:tcW w:w="3341" w:type="dxa"/>
            <w:vAlign w:val="center"/>
          </w:tcPr>
          <w:p w14:paraId="0E1CE36C" w14:textId="77777777" w:rsidR="00C71786" w:rsidRPr="00A11EA0" w:rsidRDefault="00C71786" w:rsidP="00940F14">
            <w:pPr>
              <w:jc w:val="center"/>
              <w:rPr>
                <w:rFonts w:ascii="Arial" w:hAnsi="Arial" w:cs="Arial"/>
                <w:b/>
                <w:sz w:val="20"/>
                <w:szCs w:val="20"/>
                <w:lang w:eastAsia="en-US"/>
              </w:rPr>
            </w:pPr>
            <w:r w:rsidRPr="0A661AB9">
              <w:rPr>
                <w:rFonts w:ascii="Arial" w:hAnsi="Arial" w:cs="Arial"/>
                <w:b/>
                <w:bCs/>
                <w:sz w:val="20"/>
                <w:szCs w:val="20"/>
                <w:lang w:eastAsia="en-US"/>
              </w:rPr>
              <w:t>Subtiekėjo pavadinimas</w:t>
            </w:r>
            <w:r>
              <w:rPr>
                <w:rStyle w:val="FootnoteReference"/>
                <w:rFonts w:ascii="Arial" w:hAnsi="Arial" w:cs="Arial"/>
                <w:b/>
                <w:sz w:val="20"/>
                <w:szCs w:val="20"/>
                <w:lang w:eastAsia="en-US"/>
              </w:rPr>
              <w:footnoteReference w:id="2"/>
            </w:r>
          </w:p>
        </w:tc>
        <w:tc>
          <w:tcPr>
            <w:tcW w:w="5454" w:type="dxa"/>
            <w:vAlign w:val="center"/>
          </w:tcPr>
          <w:p w14:paraId="3CB130D7" w14:textId="77777777" w:rsidR="00C71786" w:rsidRPr="00A11EA0" w:rsidRDefault="00C71786" w:rsidP="00940F14">
            <w:pPr>
              <w:jc w:val="center"/>
              <w:rPr>
                <w:rFonts w:ascii="Arial" w:hAnsi="Arial" w:cs="Arial"/>
                <w:b/>
                <w:sz w:val="20"/>
                <w:szCs w:val="20"/>
                <w:lang w:eastAsia="en-US"/>
              </w:rPr>
            </w:pPr>
            <w:r w:rsidRPr="00A11EA0">
              <w:rPr>
                <w:rFonts w:ascii="Arial" w:hAnsi="Arial" w:cs="Arial"/>
                <w:b/>
                <w:sz w:val="20"/>
                <w:szCs w:val="20"/>
                <w:lang w:eastAsia="en-US"/>
              </w:rPr>
              <w:t>Subtiekėjui perduodama vykdyti sutartinių įsipareigojimų dalis</w:t>
            </w:r>
          </w:p>
        </w:tc>
      </w:tr>
      <w:tr w:rsidR="00C71786" w:rsidRPr="00A11EA0" w14:paraId="5E355815" w14:textId="77777777" w:rsidTr="00C71786">
        <w:trPr>
          <w:trHeight w:val="12"/>
        </w:trPr>
        <w:tc>
          <w:tcPr>
            <w:tcW w:w="913" w:type="dxa"/>
            <w:vAlign w:val="center"/>
          </w:tcPr>
          <w:p w14:paraId="745CBECC" w14:textId="77777777" w:rsidR="00C71786" w:rsidRPr="00A11EA0" w:rsidRDefault="00C71786" w:rsidP="00940F14">
            <w:pPr>
              <w:jc w:val="center"/>
              <w:rPr>
                <w:rFonts w:ascii="Arial" w:hAnsi="Arial" w:cs="Arial"/>
                <w:sz w:val="20"/>
                <w:szCs w:val="20"/>
                <w:lang w:eastAsia="en-US"/>
              </w:rPr>
            </w:pPr>
            <w:r w:rsidRPr="00A11EA0">
              <w:rPr>
                <w:rFonts w:ascii="Arial" w:hAnsi="Arial" w:cs="Arial"/>
                <w:sz w:val="20"/>
                <w:szCs w:val="20"/>
                <w:lang w:eastAsia="en-US"/>
              </w:rPr>
              <w:t>1.</w:t>
            </w:r>
          </w:p>
        </w:tc>
        <w:tc>
          <w:tcPr>
            <w:tcW w:w="3341" w:type="dxa"/>
            <w:vAlign w:val="center"/>
          </w:tcPr>
          <w:p w14:paraId="2510873B" w14:textId="2D96A568" w:rsidR="00C71786" w:rsidRPr="00A11EA0" w:rsidRDefault="00546209" w:rsidP="00940F14">
            <w:pPr>
              <w:jc w:val="center"/>
              <w:rPr>
                <w:rFonts w:ascii="Arial" w:hAnsi="Arial" w:cs="Arial"/>
                <w:sz w:val="20"/>
                <w:szCs w:val="20"/>
                <w:lang w:eastAsia="en-US"/>
              </w:rPr>
            </w:pPr>
            <w:r>
              <w:rPr>
                <w:rFonts w:ascii="Arial" w:hAnsi="Arial" w:cs="Arial"/>
                <w:sz w:val="20"/>
                <w:szCs w:val="20"/>
                <w:lang w:eastAsia="en-US"/>
              </w:rPr>
              <w:t>Nežinoma</w:t>
            </w:r>
          </w:p>
        </w:tc>
        <w:tc>
          <w:tcPr>
            <w:tcW w:w="5454" w:type="dxa"/>
            <w:vAlign w:val="center"/>
          </w:tcPr>
          <w:p w14:paraId="4EBDB0D2" w14:textId="4C1A57E1" w:rsidR="00C71786" w:rsidRPr="00A11EA0" w:rsidRDefault="00546209" w:rsidP="00940F14">
            <w:pPr>
              <w:jc w:val="center"/>
              <w:rPr>
                <w:rFonts w:ascii="Arial" w:hAnsi="Arial" w:cs="Arial"/>
                <w:sz w:val="20"/>
                <w:szCs w:val="20"/>
                <w:lang w:eastAsia="en-US"/>
              </w:rPr>
            </w:pPr>
            <w:r>
              <w:rPr>
                <w:rFonts w:ascii="Arial" w:hAnsi="Arial" w:cs="Arial"/>
                <w:sz w:val="20"/>
                <w:szCs w:val="20"/>
                <w:lang w:eastAsia="en-US"/>
              </w:rPr>
              <w:t>Nežinoma</w:t>
            </w:r>
          </w:p>
        </w:tc>
      </w:tr>
    </w:tbl>
    <w:p w14:paraId="3053084D" w14:textId="77777777" w:rsidR="00E84D30" w:rsidRPr="004903E5" w:rsidRDefault="00E84D30" w:rsidP="003B125F">
      <w:pPr>
        <w:spacing w:before="60" w:after="60"/>
        <w:jc w:val="both"/>
        <w:rPr>
          <w:rFonts w:ascii="Arial" w:hAnsi="Arial" w:cs="Arial"/>
          <w:sz w:val="20"/>
          <w:szCs w:val="20"/>
        </w:rPr>
      </w:pPr>
    </w:p>
    <w:p w14:paraId="258DC32C" w14:textId="1ED52E58" w:rsidR="00A47C19" w:rsidRDefault="001D4986" w:rsidP="00EF0074">
      <w:pPr>
        <w:pStyle w:val="Heading1"/>
        <w:numPr>
          <w:ilvl w:val="0"/>
          <w:numId w:val="1"/>
        </w:numPr>
        <w:spacing w:before="60" w:after="60"/>
        <w:jc w:val="center"/>
        <w:rPr>
          <w:rFonts w:ascii="Arial" w:hAnsi="Arial" w:cs="Arial"/>
          <w:b/>
          <w:bCs/>
          <w:sz w:val="20"/>
          <w:szCs w:val="20"/>
        </w:rPr>
      </w:pPr>
      <w:bookmarkStart w:id="4" w:name="_Toc329443228"/>
      <w:r w:rsidRPr="000E1FEF">
        <w:rPr>
          <w:rFonts w:ascii="Arial" w:hAnsi="Arial" w:cs="Arial"/>
          <w:b/>
          <w:bCs/>
          <w:sz w:val="20"/>
          <w:szCs w:val="20"/>
        </w:rPr>
        <w:t xml:space="preserve">PASIŪLYMO </w:t>
      </w:r>
      <w:bookmarkEnd w:id="4"/>
      <w:r w:rsidR="00EF0074">
        <w:rPr>
          <w:rFonts w:ascii="Arial" w:hAnsi="Arial" w:cs="Arial"/>
          <w:b/>
          <w:bCs/>
          <w:sz w:val="20"/>
          <w:szCs w:val="20"/>
        </w:rPr>
        <w:t>KAINA</w:t>
      </w:r>
    </w:p>
    <w:p w14:paraId="1876BDEC" w14:textId="77777777" w:rsidR="00EF0074" w:rsidRPr="004903E5" w:rsidRDefault="00EF0074" w:rsidP="00EF0074">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1E60C84D" w14:textId="54B419DA" w:rsidR="00EF0074" w:rsidRDefault="00EF0074" w:rsidP="00EF0074">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tbl>
      <w:tblPr>
        <w:tblW w:w="9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6"/>
        <w:gridCol w:w="7033"/>
        <w:gridCol w:w="1892"/>
      </w:tblGrid>
      <w:tr w:rsidR="00317265" w14:paraId="5D9E353A" w14:textId="77777777" w:rsidTr="002D221F">
        <w:trPr>
          <w:trHeight w:val="271"/>
        </w:trPr>
        <w:tc>
          <w:tcPr>
            <w:tcW w:w="876" w:type="dxa"/>
            <w:tcBorders>
              <w:top w:val="single" w:sz="4" w:space="0" w:color="000000"/>
              <w:left w:val="single" w:sz="4" w:space="0" w:color="000000"/>
              <w:bottom w:val="single" w:sz="4" w:space="0" w:color="000000"/>
              <w:right w:val="single" w:sz="4" w:space="0" w:color="000000"/>
            </w:tcBorders>
            <w:vAlign w:val="center"/>
            <w:hideMark/>
          </w:tcPr>
          <w:p w14:paraId="5B3ABC8D" w14:textId="77777777" w:rsidR="00317265" w:rsidRPr="00317265" w:rsidRDefault="00317265" w:rsidP="00317265">
            <w:pPr>
              <w:spacing w:before="60" w:after="60" w:line="276" w:lineRule="auto"/>
              <w:rPr>
                <w:rFonts w:ascii="Arial" w:hAnsi="Arial" w:cs="Arial"/>
                <w:b/>
                <w:sz w:val="20"/>
                <w:szCs w:val="20"/>
              </w:rPr>
            </w:pPr>
            <w:bookmarkStart w:id="5" w:name="_Hlk58263135"/>
            <w:r w:rsidRPr="00317265">
              <w:rPr>
                <w:rFonts w:ascii="Arial" w:hAnsi="Arial" w:cs="Arial"/>
                <w:b/>
                <w:sz w:val="20"/>
                <w:szCs w:val="20"/>
              </w:rPr>
              <w:t>Eil. Nr.</w:t>
            </w:r>
          </w:p>
        </w:tc>
        <w:tc>
          <w:tcPr>
            <w:tcW w:w="7033" w:type="dxa"/>
            <w:tcBorders>
              <w:top w:val="single" w:sz="4" w:space="0" w:color="000000"/>
              <w:left w:val="single" w:sz="4" w:space="0" w:color="000000"/>
              <w:bottom w:val="single" w:sz="4" w:space="0" w:color="000000"/>
              <w:right w:val="single" w:sz="4" w:space="0" w:color="000000"/>
            </w:tcBorders>
            <w:vAlign w:val="center"/>
            <w:hideMark/>
          </w:tcPr>
          <w:p w14:paraId="7760609C" w14:textId="77777777" w:rsidR="00317265" w:rsidRDefault="00317265" w:rsidP="002D221F">
            <w:pPr>
              <w:spacing w:before="60" w:after="60" w:line="276" w:lineRule="auto"/>
              <w:jc w:val="center"/>
              <w:rPr>
                <w:rFonts w:ascii="Arial" w:hAnsi="Arial" w:cs="Arial"/>
                <w:b/>
                <w:iCs/>
                <w:sz w:val="20"/>
                <w:szCs w:val="20"/>
              </w:rPr>
            </w:pPr>
            <w:r>
              <w:rPr>
                <w:rFonts w:ascii="Arial" w:hAnsi="Arial" w:cs="Arial"/>
                <w:b/>
                <w:iCs/>
                <w:sz w:val="20"/>
                <w:szCs w:val="20"/>
              </w:rPr>
              <w:t>Pirkimo objektas</w:t>
            </w:r>
          </w:p>
        </w:tc>
        <w:tc>
          <w:tcPr>
            <w:tcW w:w="1892" w:type="dxa"/>
            <w:tcBorders>
              <w:top w:val="single" w:sz="4" w:space="0" w:color="000000"/>
              <w:left w:val="single" w:sz="4" w:space="0" w:color="000000"/>
              <w:bottom w:val="single" w:sz="4" w:space="0" w:color="000000"/>
              <w:right w:val="single" w:sz="4" w:space="0" w:color="auto"/>
            </w:tcBorders>
            <w:vAlign w:val="center"/>
            <w:hideMark/>
          </w:tcPr>
          <w:p w14:paraId="47673662" w14:textId="77777777" w:rsidR="00317265" w:rsidRDefault="00317265" w:rsidP="002D221F">
            <w:pPr>
              <w:spacing w:before="60" w:after="60" w:line="276" w:lineRule="auto"/>
              <w:jc w:val="center"/>
              <w:rPr>
                <w:rFonts w:ascii="Arial" w:hAnsi="Arial" w:cs="Arial"/>
                <w:b/>
                <w:sz w:val="20"/>
                <w:szCs w:val="20"/>
              </w:rPr>
            </w:pPr>
            <w:r>
              <w:rPr>
                <w:rFonts w:ascii="Arial" w:hAnsi="Arial" w:cs="Arial"/>
                <w:b/>
                <w:sz w:val="20"/>
                <w:szCs w:val="20"/>
              </w:rPr>
              <w:t>Pasiūlymo kaina* EUR be PVM</w:t>
            </w:r>
          </w:p>
        </w:tc>
      </w:tr>
      <w:bookmarkEnd w:id="5"/>
      <w:tr w:rsidR="004116A9" w14:paraId="328BC4D9" w14:textId="77777777" w:rsidTr="002D221F">
        <w:trPr>
          <w:trHeight w:val="305"/>
        </w:trPr>
        <w:tc>
          <w:tcPr>
            <w:tcW w:w="876" w:type="dxa"/>
            <w:tcBorders>
              <w:top w:val="single" w:sz="4" w:space="0" w:color="000000"/>
              <w:left w:val="single" w:sz="4" w:space="0" w:color="000000"/>
              <w:bottom w:val="single" w:sz="4" w:space="0" w:color="000000"/>
              <w:right w:val="single" w:sz="4" w:space="0" w:color="000000"/>
            </w:tcBorders>
            <w:hideMark/>
          </w:tcPr>
          <w:p w14:paraId="196CD3EE" w14:textId="77777777" w:rsidR="004116A9" w:rsidRDefault="004116A9" w:rsidP="004116A9">
            <w:pPr>
              <w:spacing w:before="60" w:after="60" w:line="276" w:lineRule="auto"/>
              <w:jc w:val="center"/>
              <w:rPr>
                <w:rFonts w:ascii="Arial" w:hAnsi="Arial" w:cs="Arial"/>
                <w:sz w:val="20"/>
                <w:szCs w:val="20"/>
              </w:rPr>
            </w:pPr>
            <w:r>
              <w:rPr>
                <w:rFonts w:ascii="Arial" w:hAnsi="Arial" w:cs="Arial"/>
                <w:sz w:val="20"/>
                <w:szCs w:val="20"/>
              </w:rPr>
              <w:t>1.</w:t>
            </w:r>
          </w:p>
        </w:tc>
        <w:tc>
          <w:tcPr>
            <w:tcW w:w="7033" w:type="dxa"/>
            <w:tcBorders>
              <w:top w:val="single" w:sz="4" w:space="0" w:color="000000"/>
              <w:left w:val="single" w:sz="4" w:space="0" w:color="000000"/>
              <w:bottom w:val="single" w:sz="4" w:space="0" w:color="000000"/>
              <w:right w:val="single" w:sz="4" w:space="0" w:color="000000"/>
            </w:tcBorders>
            <w:hideMark/>
          </w:tcPr>
          <w:p w14:paraId="7F0B0D7A" w14:textId="4E4AB4FD" w:rsidR="004116A9" w:rsidRDefault="004116A9" w:rsidP="004116A9">
            <w:pPr>
              <w:pStyle w:val="CommentText"/>
              <w:spacing w:line="276" w:lineRule="auto"/>
              <w:jc w:val="both"/>
            </w:pPr>
            <w:r>
              <w:rPr>
                <w:rFonts w:ascii="Arial" w:hAnsi="Arial" w:cs="Arial"/>
              </w:rPr>
              <w:t>Viešųjų ryšių paslauga</w:t>
            </w:r>
          </w:p>
        </w:tc>
        <w:tc>
          <w:tcPr>
            <w:tcW w:w="1892" w:type="dxa"/>
            <w:tcBorders>
              <w:top w:val="single" w:sz="4" w:space="0" w:color="000000"/>
              <w:left w:val="single" w:sz="4" w:space="0" w:color="000000"/>
              <w:bottom w:val="single" w:sz="4" w:space="0" w:color="000000"/>
              <w:right w:val="single" w:sz="4" w:space="0" w:color="auto"/>
            </w:tcBorders>
          </w:tcPr>
          <w:p w14:paraId="6610EE1D" w14:textId="433DAA57" w:rsidR="004116A9" w:rsidRDefault="004116A9" w:rsidP="004116A9">
            <w:pPr>
              <w:spacing w:before="60" w:after="60" w:line="276" w:lineRule="auto"/>
              <w:ind w:firstLine="41"/>
              <w:jc w:val="right"/>
              <w:rPr>
                <w:rFonts w:ascii="Arial" w:hAnsi="Arial" w:cs="Arial"/>
                <w:sz w:val="20"/>
                <w:szCs w:val="20"/>
              </w:rPr>
            </w:pPr>
            <w:r>
              <w:rPr>
                <w:rFonts w:ascii="Arial" w:hAnsi="Arial" w:cs="Arial"/>
                <w:sz w:val="20"/>
                <w:szCs w:val="20"/>
              </w:rPr>
              <w:t>68,65</w:t>
            </w:r>
          </w:p>
        </w:tc>
      </w:tr>
      <w:tr w:rsidR="004116A9" w14:paraId="27D7154B" w14:textId="77777777" w:rsidTr="002D221F">
        <w:trPr>
          <w:trHeight w:val="305"/>
        </w:trPr>
        <w:tc>
          <w:tcPr>
            <w:tcW w:w="876" w:type="dxa"/>
            <w:tcBorders>
              <w:top w:val="single" w:sz="4" w:space="0" w:color="000000"/>
              <w:left w:val="single" w:sz="4" w:space="0" w:color="000000"/>
              <w:bottom w:val="single" w:sz="4" w:space="0" w:color="000000"/>
              <w:right w:val="single" w:sz="4" w:space="0" w:color="000000"/>
            </w:tcBorders>
          </w:tcPr>
          <w:p w14:paraId="370B8B67" w14:textId="77777777" w:rsidR="004116A9" w:rsidRDefault="004116A9" w:rsidP="004116A9">
            <w:pPr>
              <w:spacing w:before="60" w:after="60" w:line="276" w:lineRule="auto"/>
              <w:ind w:hanging="22"/>
              <w:jc w:val="center"/>
              <w:rPr>
                <w:rFonts w:ascii="Arial" w:hAnsi="Arial" w:cs="Arial"/>
                <w:b/>
                <w:sz w:val="20"/>
                <w:szCs w:val="20"/>
              </w:rPr>
            </w:pPr>
          </w:p>
        </w:tc>
        <w:tc>
          <w:tcPr>
            <w:tcW w:w="7033" w:type="dxa"/>
            <w:tcBorders>
              <w:top w:val="single" w:sz="4" w:space="0" w:color="000000"/>
              <w:left w:val="single" w:sz="4" w:space="0" w:color="000000"/>
              <w:bottom w:val="single" w:sz="4" w:space="0" w:color="000000"/>
              <w:right w:val="single" w:sz="4" w:space="0" w:color="auto"/>
            </w:tcBorders>
            <w:hideMark/>
          </w:tcPr>
          <w:p w14:paraId="50EFCEB3" w14:textId="77777777" w:rsidR="004116A9" w:rsidRDefault="004116A9" w:rsidP="004116A9">
            <w:pPr>
              <w:spacing w:before="60" w:after="60" w:line="276" w:lineRule="auto"/>
              <w:ind w:firstLine="41"/>
              <w:jc w:val="right"/>
              <w:rPr>
                <w:rFonts w:ascii="Arial" w:hAnsi="Arial" w:cs="Arial"/>
                <w:sz w:val="20"/>
                <w:szCs w:val="20"/>
              </w:rPr>
            </w:pPr>
            <w:r>
              <w:rPr>
                <w:rFonts w:ascii="Arial" w:hAnsi="Arial" w:cs="Arial"/>
                <w:b/>
                <w:sz w:val="20"/>
                <w:szCs w:val="20"/>
              </w:rPr>
              <w:t xml:space="preserve">PVM </w:t>
            </w:r>
          </w:p>
        </w:tc>
        <w:tc>
          <w:tcPr>
            <w:tcW w:w="1892" w:type="dxa"/>
            <w:tcBorders>
              <w:top w:val="single" w:sz="4" w:space="0" w:color="000000"/>
              <w:left w:val="single" w:sz="4" w:space="0" w:color="000000"/>
              <w:bottom w:val="single" w:sz="4" w:space="0" w:color="000000"/>
              <w:right w:val="single" w:sz="4" w:space="0" w:color="auto"/>
            </w:tcBorders>
          </w:tcPr>
          <w:p w14:paraId="1AD99287" w14:textId="2FBC9B8E" w:rsidR="004116A9" w:rsidRDefault="004116A9" w:rsidP="004116A9">
            <w:pPr>
              <w:spacing w:before="60" w:after="60" w:line="276" w:lineRule="auto"/>
              <w:ind w:firstLine="41"/>
              <w:jc w:val="right"/>
              <w:rPr>
                <w:rFonts w:ascii="Arial" w:hAnsi="Arial" w:cs="Arial"/>
                <w:sz w:val="20"/>
                <w:szCs w:val="20"/>
              </w:rPr>
            </w:pPr>
            <w:r>
              <w:rPr>
                <w:rFonts w:ascii="Arial" w:hAnsi="Arial" w:cs="Arial"/>
                <w:sz w:val="20"/>
                <w:szCs w:val="20"/>
              </w:rPr>
              <w:t>14,42</w:t>
            </w:r>
          </w:p>
        </w:tc>
      </w:tr>
      <w:tr w:rsidR="004116A9" w14:paraId="6135CF70" w14:textId="77777777" w:rsidTr="002D221F">
        <w:trPr>
          <w:trHeight w:val="305"/>
        </w:trPr>
        <w:tc>
          <w:tcPr>
            <w:tcW w:w="876" w:type="dxa"/>
            <w:tcBorders>
              <w:top w:val="single" w:sz="4" w:space="0" w:color="000000"/>
              <w:left w:val="single" w:sz="4" w:space="0" w:color="000000"/>
              <w:bottom w:val="single" w:sz="4" w:space="0" w:color="000000"/>
              <w:right w:val="single" w:sz="4" w:space="0" w:color="000000"/>
            </w:tcBorders>
          </w:tcPr>
          <w:p w14:paraId="0158A655" w14:textId="77777777" w:rsidR="004116A9" w:rsidRDefault="004116A9" w:rsidP="004116A9">
            <w:pPr>
              <w:spacing w:before="60" w:after="60" w:line="276" w:lineRule="auto"/>
              <w:ind w:hanging="22"/>
              <w:jc w:val="center"/>
              <w:rPr>
                <w:rFonts w:ascii="Arial" w:hAnsi="Arial" w:cs="Arial"/>
                <w:b/>
                <w:sz w:val="20"/>
                <w:szCs w:val="20"/>
              </w:rPr>
            </w:pPr>
          </w:p>
        </w:tc>
        <w:tc>
          <w:tcPr>
            <w:tcW w:w="7033" w:type="dxa"/>
            <w:tcBorders>
              <w:top w:val="single" w:sz="4" w:space="0" w:color="000000"/>
              <w:left w:val="single" w:sz="4" w:space="0" w:color="000000"/>
              <w:bottom w:val="single" w:sz="4" w:space="0" w:color="000000"/>
              <w:right w:val="single" w:sz="4" w:space="0" w:color="auto"/>
            </w:tcBorders>
            <w:hideMark/>
          </w:tcPr>
          <w:p w14:paraId="40F1B451" w14:textId="77777777" w:rsidR="004116A9" w:rsidRDefault="004116A9" w:rsidP="004116A9">
            <w:pPr>
              <w:spacing w:before="60" w:after="60" w:line="276" w:lineRule="auto"/>
              <w:ind w:firstLine="41"/>
              <w:jc w:val="right"/>
              <w:rPr>
                <w:rFonts w:ascii="Arial" w:hAnsi="Arial" w:cs="Arial"/>
                <w:sz w:val="20"/>
                <w:szCs w:val="20"/>
              </w:rPr>
            </w:pPr>
            <w:r>
              <w:rPr>
                <w:rFonts w:ascii="Arial" w:hAnsi="Arial" w:cs="Arial"/>
                <w:b/>
                <w:sz w:val="20"/>
                <w:szCs w:val="20"/>
              </w:rPr>
              <w:t xml:space="preserve">Pasiūlymo kaina </w:t>
            </w:r>
            <w:r>
              <w:rPr>
                <w:rFonts w:ascii="Arial" w:hAnsi="Arial" w:cs="Arial"/>
                <w:b/>
                <w:iCs/>
                <w:sz w:val="20"/>
                <w:szCs w:val="20"/>
              </w:rPr>
              <w:t>EUR</w:t>
            </w:r>
            <w:r>
              <w:rPr>
                <w:rFonts w:ascii="Arial" w:hAnsi="Arial" w:cs="Arial"/>
                <w:b/>
                <w:sz w:val="20"/>
                <w:szCs w:val="20"/>
              </w:rPr>
              <w:t xml:space="preserve"> su PVM</w:t>
            </w:r>
            <w:r>
              <w:rPr>
                <w:rStyle w:val="FootnoteReference"/>
                <w:rFonts w:ascii="Arial" w:hAnsi="Arial" w:cs="Arial"/>
                <w:b/>
                <w:sz w:val="20"/>
                <w:szCs w:val="20"/>
              </w:rPr>
              <w:footnoteReference w:id="3"/>
            </w:r>
            <w:r>
              <w:rPr>
                <w:rFonts w:ascii="Arial" w:hAnsi="Arial" w:cs="Arial"/>
                <w:b/>
                <w:sz w:val="20"/>
                <w:szCs w:val="20"/>
              </w:rPr>
              <w:t xml:space="preserve"> </w:t>
            </w:r>
          </w:p>
        </w:tc>
        <w:tc>
          <w:tcPr>
            <w:tcW w:w="1892" w:type="dxa"/>
            <w:tcBorders>
              <w:top w:val="single" w:sz="4" w:space="0" w:color="000000"/>
              <w:left w:val="single" w:sz="4" w:space="0" w:color="000000"/>
              <w:bottom w:val="single" w:sz="4" w:space="0" w:color="000000"/>
              <w:right w:val="single" w:sz="4" w:space="0" w:color="auto"/>
            </w:tcBorders>
          </w:tcPr>
          <w:p w14:paraId="139F4C10" w14:textId="71A86927" w:rsidR="004116A9" w:rsidRDefault="004116A9" w:rsidP="004116A9">
            <w:pPr>
              <w:spacing w:before="60" w:after="60" w:line="276" w:lineRule="auto"/>
              <w:ind w:firstLine="41"/>
              <w:jc w:val="right"/>
              <w:rPr>
                <w:rFonts w:ascii="Arial" w:hAnsi="Arial" w:cs="Arial"/>
                <w:sz w:val="20"/>
                <w:szCs w:val="20"/>
              </w:rPr>
            </w:pPr>
            <w:r>
              <w:rPr>
                <w:rFonts w:ascii="Arial" w:hAnsi="Arial" w:cs="Arial"/>
                <w:sz w:val="20"/>
                <w:szCs w:val="20"/>
              </w:rPr>
              <w:t>83,07</w:t>
            </w:r>
          </w:p>
        </w:tc>
      </w:tr>
    </w:tbl>
    <w:p w14:paraId="3BB81FF6" w14:textId="04736AB5" w:rsidR="00BD091C" w:rsidRDefault="00114C10" w:rsidP="00A47C19">
      <w:pPr>
        <w:tabs>
          <w:tab w:val="left" w:pos="426"/>
          <w:tab w:val="left" w:pos="6804"/>
        </w:tabs>
        <w:ind w:left="142"/>
        <w:rPr>
          <w:rFonts w:ascii="Arial" w:hAnsi="Arial" w:cs="Arial"/>
          <w:b/>
          <w:sz w:val="18"/>
          <w:szCs w:val="18"/>
        </w:rPr>
      </w:pPr>
      <w:r>
        <w:rPr>
          <w:rFonts w:ascii="Arial" w:hAnsi="Arial" w:cs="Arial"/>
          <w:b/>
          <w:sz w:val="18"/>
          <w:szCs w:val="18"/>
          <w:lang w:val="en-US"/>
        </w:rPr>
        <w:t>*Pasi</w:t>
      </w:r>
      <w:r>
        <w:rPr>
          <w:rFonts w:ascii="Arial" w:hAnsi="Arial" w:cs="Arial"/>
          <w:b/>
          <w:sz w:val="18"/>
          <w:szCs w:val="18"/>
        </w:rPr>
        <w:t>ūlymo kaina  yra vienos vie</w:t>
      </w:r>
      <w:r w:rsidR="00E11AC0">
        <w:rPr>
          <w:rFonts w:ascii="Arial" w:hAnsi="Arial" w:cs="Arial"/>
          <w:b/>
          <w:sz w:val="18"/>
          <w:szCs w:val="18"/>
        </w:rPr>
        <w:t>šųjų ryšių paslaugos valandos įkainis.</w:t>
      </w:r>
    </w:p>
    <w:p w14:paraId="2B8EAC4E" w14:textId="77777777" w:rsidR="00E11AC0" w:rsidRPr="00114C10" w:rsidRDefault="00E11AC0" w:rsidP="00A47C19">
      <w:pPr>
        <w:tabs>
          <w:tab w:val="left" w:pos="426"/>
          <w:tab w:val="left" w:pos="6804"/>
        </w:tabs>
        <w:ind w:left="142"/>
        <w:rPr>
          <w:rFonts w:ascii="Arial" w:hAnsi="Arial" w:cs="Arial"/>
          <w:b/>
          <w:sz w:val="18"/>
          <w:szCs w:val="18"/>
        </w:rPr>
      </w:pPr>
    </w:p>
    <w:p w14:paraId="00CAC5A8" w14:textId="77777777" w:rsidR="004215C6" w:rsidRDefault="004215C6" w:rsidP="004215C6">
      <w:pPr>
        <w:pStyle w:val="Heading1"/>
        <w:numPr>
          <w:ilvl w:val="0"/>
          <w:numId w:val="1"/>
        </w:numPr>
        <w:spacing w:before="60" w:after="60"/>
        <w:jc w:val="center"/>
        <w:rPr>
          <w:rFonts w:ascii="Arial" w:hAnsi="Arial" w:cs="Arial"/>
          <w:b/>
          <w:bCs/>
          <w:sz w:val="20"/>
          <w:szCs w:val="20"/>
        </w:rPr>
      </w:pPr>
      <w:r>
        <w:rPr>
          <w:rFonts w:ascii="Arial" w:hAnsi="Arial" w:cs="Arial"/>
          <w:b/>
          <w:bCs/>
          <w:sz w:val="20"/>
          <w:szCs w:val="20"/>
        </w:rPr>
        <w:t>ŽALIEJI IR SOCIALINIAI REIKALAVIMAI</w:t>
      </w:r>
    </w:p>
    <w:p w14:paraId="7E0D7BEB" w14:textId="77777777" w:rsidR="004215C6" w:rsidRPr="00DE353C" w:rsidRDefault="004215C6" w:rsidP="004215C6"/>
    <w:tbl>
      <w:tblPr>
        <w:tblStyle w:val="TableGrid"/>
        <w:tblW w:w="0" w:type="auto"/>
        <w:tblLook w:val="04A0" w:firstRow="1" w:lastRow="0" w:firstColumn="1" w:lastColumn="0" w:noHBand="0" w:noVBand="1"/>
      </w:tblPr>
      <w:tblGrid>
        <w:gridCol w:w="5412"/>
        <w:gridCol w:w="4346"/>
      </w:tblGrid>
      <w:tr w:rsidR="004215C6" w:rsidRPr="00DE353C" w14:paraId="3F711B47" w14:textId="77777777" w:rsidTr="008A2B41">
        <w:trPr>
          <w:trHeight w:val="295"/>
        </w:trPr>
        <w:tc>
          <w:tcPr>
            <w:tcW w:w="5412" w:type="dxa"/>
          </w:tcPr>
          <w:p w14:paraId="6657E7EC" w14:textId="77777777" w:rsidR="004215C6" w:rsidRPr="00DE353C" w:rsidRDefault="004215C6" w:rsidP="00852F4C">
            <w:pPr>
              <w:jc w:val="center"/>
              <w:rPr>
                <w:rFonts w:ascii="Arial" w:hAnsi="Arial" w:cs="Arial"/>
                <w:b/>
                <w:bCs/>
                <w:sz w:val="20"/>
                <w:szCs w:val="20"/>
              </w:rPr>
            </w:pPr>
            <w:r w:rsidRPr="00DE353C">
              <w:rPr>
                <w:rFonts w:ascii="Arial" w:hAnsi="Arial" w:cs="Arial"/>
                <w:b/>
                <w:bCs/>
                <w:sz w:val="20"/>
                <w:szCs w:val="20"/>
              </w:rPr>
              <w:t>Reikalavimas</w:t>
            </w:r>
          </w:p>
        </w:tc>
        <w:tc>
          <w:tcPr>
            <w:tcW w:w="4346" w:type="dxa"/>
          </w:tcPr>
          <w:p w14:paraId="5569305C" w14:textId="77777777" w:rsidR="004215C6" w:rsidRPr="00DE353C" w:rsidRDefault="004215C6" w:rsidP="00852F4C">
            <w:pPr>
              <w:jc w:val="center"/>
              <w:rPr>
                <w:rFonts w:ascii="Arial" w:hAnsi="Arial" w:cs="Arial"/>
                <w:b/>
                <w:bCs/>
                <w:sz w:val="20"/>
                <w:szCs w:val="20"/>
              </w:rPr>
            </w:pPr>
            <w:r w:rsidRPr="00DE353C">
              <w:rPr>
                <w:rFonts w:ascii="Arial" w:hAnsi="Arial" w:cs="Arial"/>
                <w:b/>
                <w:bCs/>
                <w:sz w:val="20"/>
                <w:szCs w:val="20"/>
              </w:rPr>
              <w:t>Pateikiami dokumentai ar nuoroda į dokumentus</w:t>
            </w:r>
            <w:r>
              <w:rPr>
                <w:rFonts w:ascii="Arial" w:hAnsi="Arial" w:cs="Arial"/>
                <w:b/>
                <w:bCs/>
                <w:sz w:val="20"/>
                <w:szCs w:val="20"/>
              </w:rPr>
              <w:t xml:space="preserve"> </w:t>
            </w:r>
            <w:r w:rsidRPr="00174AE8">
              <w:rPr>
                <w:rFonts w:ascii="Arial" w:hAnsi="Arial" w:cs="Arial"/>
                <w:i/>
                <w:iCs/>
                <w:color w:val="FF0000"/>
                <w:sz w:val="20"/>
                <w:szCs w:val="20"/>
              </w:rPr>
              <w:t>(įrašo Tiekėjas)</w:t>
            </w:r>
          </w:p>
        </w:tc>
      </w:tr>
      <w:tr w:rsidR="004215C6" w:rsidRPr="00D83701" w14:paraId="158A012F" w14:textId="77777777" w:rsidTr="002C06D5">
        <w:trPr>
          <w:trHeight w:val="1060"/>
        </w:trPr>
        <w:tc>
          <w:tcPr>
            <w:tcW w:w="5412" w:type="dxa"/>
            <w:shd w:val="clear" w:color="auto" w:fill="auto"/>
          </w:tcPr>
          <w:p w14:paraId="2F35C12D" w14:textId="77777777" w:rsidR="004215C6" w:rsidRPr="00C632B9" w:rsidRDefault="004215C6" w:rsidP="00852F4C">
            <w:pPr>
              <w:jc w:val="both"/>
              <w:rPr>
                <w:rFonts w:ascii="Arial" w:hAnsi="Arial" w:cs="Arial"/>
                <w:b/>
                <w:bCs/>
                <w:sz w:val="20"/>
                <w:szCs w:val="20"/>
                <w:highlight w:val="yellow"/>
              </w:rPr>
            </w:pPr>
            <w:r w:rsidRPr="002C06D5">
              <w:rPr>
                <w:rFonts w:ascii="Arial" w:hAnsi="Arial" w:cs="Arial"/>
                <w:b/>
                <w:bCs/>
                <w:sz w:val="20"/>
                <w:szCs w:val="20"/>
              </w:rPr>
              <w:t xml:space="preserve">Socialinis reikalavimas: </w:t>
            </w:r>
            <w:r w:rsidRPr="002C06D5">
              <w:rPr>
                <w:rFonts w:ascii="Arial" w:hAnsi="Arial" w:cs="Arial"/>
                <w:color w:val="000000"/>
                <w:sz w:val="20"/>
                <w:szCs w:val="20"/>
                <w:shd w:val="clear" w:color="auto" w:fill="FFFFFF"/>
              </w:rPr>
              <w:t>Tiekėjas turi patvirtintą etikos (elgesio) kodeksą, kuriame nustatytos elgesio normos, orientuotos į socialinės gerovės skatinimą bent vienoje iš nurodytų socialinių sričių: darbo sąlygos, darbuotojų sauga ir sveikata, darbuotojų teisės, žmogaus teisės, verslo etika ir valdysena, korupcijos prevencija. Etikos (elgesio) kodeksą taikys Sutarties vykdymo laikotarpiu.</w:t>
            </w:r>
          </w:p>
        </w:tc>
        <w:tc>
          <w:tcPr>
            <w:tcW w:w="4346" w:type="dxa"/>
          </w:tcPr>
          <w:p w14:paraId="3C409B13" w14:textId="67008F3A" w:rsidR="004215C6" w:rsidRPr="00DE353C" w:rsidRDefault="00000000" w:rsidP="00852F4C">
            <w:pPr>
              <w:rPr>
                <w:rFonts w:ascii="Arial" w:hAnsi="Arial" w:cs="Arial"/>
                <w:b/>
                <w:bCs/>
                <w:sz w:val="22"/>
                <w:szCs w:val="22"/>
              </w:rPr>
            </w:pPr>
            <w:hyperlink r:id="rId12" w:history="1">
              <w:r w:rsidR="008C42C6" w:rsidRPr="00BA5F80">
                <w:rPr>
                  <w:color w:val="0000FF"/>
                  <w:u w:val="single"/>
                  <w:lang w:eastAsia="en-US"/>
                </w:rPr>
                <w:t>LT_Ignitis grupe_Etikos-kodeksas_A4-c_0.pdf</w:t>
              </w:r>
            </w:hyperlink>
          </w:p>
        </w:tc>
      </w:tr>
    </w:tbl>
    <w:p w14:paraId="18B493B3" w14:textId="77777777" w:rsidR="003736E5" w:rsidRDefault="003736E5" w:rsidP="00A47C19">
      <w:pPr>
        <w:tabs>
          <w:tab w:val="left" w:pos="426"/>
          <w:tab w:val="left" w:pos="6804"/>
        </w:tabs>
        <w:ind w:left="142"/>
        <w:rPr>
          <w:rFonts w:ascii="Arial" w:hAnsi="Arial" w:cs="Arial"/>
          <w:b/>
          <w:sz w:val="18"/>
          <w:szCs w:val="18"/>
        </w:rPr>
      </w:pPr>
    </w:p>
    <w:p w14:paraId="15CBF337" w14:textId="77777777" w:rsidR="003007E8" w:rsidRDefault="003007E8" w:rsidP="00A47C19">
      <w:pPr>
        <w:tabs>
          <w:tab w:val="left" w:pos="426"/>
          <w:tab w:val="left" w:pos="6804"/>
        </w:tabs>
        <w:ind w:left="142"/>
        <w:rPr>
          <w:rFonts w:ascii="Arial" w:hAnsi="Arial" w:cs="Arial"/>
          <w:b/>
          <w:sz w:val="18"/>
          <w:szCs w:val="18"/>
        </w:rPr>
      </w:pPr>
    </w:p>
    <w:p w14:paraId="7001B4D6" w14:textId="68119313" w:rsidR="001A44A5" w:rsidRDefault="00D45309" w:rsidP="00D45309">
      <w:pPr>
        <w:pStyle w:val="ListParagraph"/>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05443565" w14:textId="77777777" w:rsidR="00FB5A7D" w:rsidRPr="00D45309" w:rsidRDefault="00FB5A7D" w:rsidP="00FB5A7D">
      <w:pPr>
        <w:pStyle w:val="ListParagraph"/>
        <w:tabs>
          <w:tab w:val="left" w:pos="426"/>
          <w:tab w:val="left" w:pos="6804"/>
        </w:tabs>
        <w:ind w:left="360"/>
        <w:rPr>
          <w:rFonts w:ascii="Arial" w:hAnsi="Arial" w:cs="Arial"/>
          <w:b/>
          <w:sz w:val="20"/>
          <w:szCs w:val="18"/>
        </w:rPr>
      </w:pPr>
    </w:p>
    <w:p w14:paraId="24FEBDEF" w14:textId="01F3B96B" w:rsidR="00D45309" w:rsidRPr="00D45309" w:rsidRDefault="00D45309" w:rsidP="00D45309">
      <w:pPr>
        <w:tabs>
          <w:tab w:val="left" w:pos="426"/>
          <w:tab w:val="left" w:pos="6804"/>
        </w:tabs>
        <w:rPr>
          <w:rFonts w:ascii="Arial" w:hAnsi="Arial" w:cs="Arial"/>
          <w:sz w:val="18"/>
          <w:szCs w:val="18"/>
        </w:rPr>
      </w:pPr>
      <w:r w:rsidRPr="00D45309">
        <w:rPr>
          <w:rFonts w:ascii="Arial" w:hAnsi="Arial" w:cs="Arial"/>
          <w:sz w:val="20"/>
          <w:szCs w:val="18"/>
        </w:rPr>
        <w:lastRenderedPageBreak/>
        <w:t xml:space="preserve">5.1. </w:t>
      </w:r>
      <w:r w:rsidR="00B07D19">
        <w:rPr>
          <w:rFonts w:ascii="Arial" w:hAnsi="Arial" w:cs="Arial"/>
          <w:sz w:val="20"/>
          <w:szCs w:val="18"/>
        </w:rPr>
        <w:t>Tiekėjo s</w:t>
      </w:r>
      <w:r w:rsidRPr="00D45309">
        <w:rPr>
          <w:rFonts w:ascii="Arial" w:hAnsi="Arial" w:cs="Arial"/>
          <w:sz w:val="20"/>
          <w:szCs w:val="18"/>
        </w:rPr>
        <w:t>iūlomos perskaičiavimo taisyklės ir jų atitiktis „ištiestos rankos“ principui</w:t>
      </w:r>
      <w:r w:rsidR="00AC2C43">
        <w:rPr>
          <w:rFonts w:ascii="Arial" w:hAnsi="Arial" w:cs="Arial"/>
          <w:sz w:val="20"/>
          <w:szCs w:val="18"/>
        </w:rPr>
        <w:t xml:space="preserve"> (</w:t>
      </w:r>
      <w:r w:rsidR="00AC2C43" w:rsidRPr="00AC2C43">
        <w:rPr>
          <w:rFonts w:ascii="Arial" w:hAnsi="Arial" w:cs="Arial"/>
          <w:i/>
          <w:color w:val="FF0000"/>
          <w:sz w:val="20"/>
          <w:szCs w:val="18"/>
        </w:rPr>
        <w:t>PILDO TIEKĖJAS</w:t>
      </w:r>
      <w:r w:rsidR="00AC2C43">
        <w:rPr>
          <w:rFonts w:ascii="Arial" w:hAnsi="Arial" w:cs="Arial"/>
          <w:sz w:val="20"/>
          <w:szCs w:val="18"/>
        </w:rPr>
        <w:t>)</w:t>
      </w:r>
      <w:r w:rsidR="00B07D19">
        <w:rPr>
          <w:rStyle w:val="FootnoteReference"/>
          <w:rFonts w:ascii="Arial" w:hAnsi="Arial" w:cs="Arial"/>
          <w:sz w:val="20"/>
          <w:szCs w:val="18"/>
        </w:rPr>
        <w:footnoteReference w:id="4"/>
      </w:r>
      <w:r w:rsidRPr="00D45309">
        <w:rPr>
          <w:rFonts w:ascii="Arial" w:hAnsi="Arial" w:cs="Arial"/>
          <w:sz w:val="20"/>
          <w:szCs w:val="18"/>
        </w:rPr>
        <w:t>:</w:t>
      </w:r>
    </w:p>
    <w:tbl>
      <w:tblPr>
        <w:tblStyle w:val="TableGrid"/>
        <w:tblW w:w="9732" w:type="dxa"/>
        <w:tblLook w:val="04A0" w:firstRow="1" w:lastRow="0" w:firstColumn="1" w:lastColumn="0" w:noHBand="0" w:noVBand="1"/>
      </w:tblPr>
      <w:tblGrid>
        <w:gridCol w:w="9732"/>
      </w:tblGrid>
      <w:tr w:rsidR="00D45309" w14:paraId="560335CB" w14:textId="77777777" w:rsidTr="00DD72B3">
        <w:trPr>
          <w:trHeight w:val="1622"/>
        </w:trPr>
        <w:tc>
          <w:tcPr>
            <w:tcW w:w="9732" w:type="dxa"/>
          </w:tcPr>
          <w:p w14:paraId="1756CFA9" w14:textId="77777777" w:rsidR="006F58FC" w:rsidRPr="00BB13BA" w:rsidRDefault="006F58FC" w:rsidP="006F58FC">
            <w:pPr>
              <w:rPr>
                <w:rFonts w:ascii="Arial" w:hAnsi="Arial" w:cs="Arial"/>
                <w:b/>
              </w:rPr>
            </w:pPr>
            <w:r>
              <w:rPr>
                <w:rFonts w:ascii="Arial" w:hAnsi="Arial" w:cs="Arial"/>
                <w:b/>
              </w:rPr>
              <w:t>KAINODAROS PRINCIPAI</w:t>
            </w:r>
          </w:p>
          <w:p w14:paraId="78694C86" w14:textId="77777777" w:rsidR="006F58FC" w:rsidRDefault="006F58FC" w:rsidP="006F58FC">
            <w:pPr>
              <w:rPr>
                <w:rFonts w:ascii="Arial" w:hAnsi="Arial" w:cs="Arial"/>
                <w:b/>
              </w:rPr>
            </w:pPr>
          </w:p>
          <w:p w14:paraId="7AA9B17A" w14:textId="77777777" w:rsidR="006F58FC" w:rsidRPr="00736071" w:rsidRDefault="006F58FC" w:rsidP="006F58FC">
            <w:pPr>
              <w:pStyle w:val="ListParagraph"/>
              <w:numPr>
                <w:ilvl w:val="0"/>
                <w:numId w:val="25"/>
              </w:numPr>
              <w:spacing w:after="200"/>
              <w:ind w:left="426" w:hanging="426"/>
              <w:jc w:val="both"/>
              <w:rPr>
                <w:rFonts w:ascii="Segoe UI" w:hAnsi="Segoe UI" w:cs="Segoe UI"/>
                <w:b/>
                <w:sz w:val="18"/>
                <w:szCs w:val="18"/>
              </w:rPr>
            </w:pPr>
            <w:r w:rsidRPr="00736071">
              <w:rPr>
                <w:rFonts w:ascii="Segoe UI" w:hAnsi="Segoe UI" w:cs="Segoe UI"/>
                <w:b/>
                <w:sz w:val="18"/>
                <w:szCs w:val="18"/>
              </w:rPr>
              <w:t>Naudojamos sąvokos ir trumpiniai</w:t>
            </w:r>
          </w:p>
          <w:p w14:paraId="5B0A9ED0" w14:textId="77777777" w:rsidR="006F58FC" w:rsidRPr="00736071" w:rsidRDefault="006F58FC" w:rsidP="006F58FC">
            <w:pPr>
              <w:pStyle w:val="ListParagraph"/>
              <w:ind w:left="426" w:hanging="426"/>
              <w:jc w:val="both"/>
              <w:rPr>
                <w:rFonts w:ascii="Segoe UI" w:hAnsi="Segoe UI" w:cs="Segoe UI"/>
                <w:b/>
                <w:sz w:val="18"/>
                <w:szCs w:val="18"/>
              </w:rPr>
            </w:pPr>
          </w:p>
          <w:p w14:paraId="417B7764" w14:textId="77777777" w:rsidR="006F58FC" w:rsidRPr="00736071" w:rsidRDefault="006F58FC" w:rsidP="006F58FC">
            <w:pPr>
              <w:pStyle w:val="ListParagraph"/>
              <w:numPr>
                <w:ilvl w:val="1"/>
                <w:numId w:val="25"/>
              </w:numPr>
              <w:spacing w:after="200"/>
              <w:ind w:left="426" w:hanging="426"/>
              <w:jc w:val="both"/>
              <w:rPr>
                <w:rFonts w:ascii="Segoe UI" w:hAnsi="Segoe UI" w:cs="Segoe UI"/>
                <w:sz w:val="18"/>
                <w:szCs w:val="18"/>
              </w:rPr>
            </w:pPr>
            <w:r>
              <w:rPr>
                <w:rFonts w:ascii="Segoe UI" w:hAnsi="Segoe UI" w:cs="Segoe UI"/>
                <w:sz w:val="18"/>
                <w:szCs w:val="18"/>
              </w:rPr>
              <w:t>G</w:t>
            </w:r>
            <w:r w:rsidRPr="00736071">
              <w:rPr>
                <w:rFonts w:ascii="Segoe UI" w:hAnsi="Segoe UI" w:cs="Segoe UI"/>
                <w:sz w:val="18"/>
                <w:szCs w:val="18"/>
              </w:rPr>
              <w:t xml:space="preserve">rupės įmonė </w:t>
            </w:r>
            <w:r>
              <w:rPr>
                <w:rFonts w:ascii="Segoe UI" w:hAnsi="Segoe UI" w:cs="Segoe UI"/>
                <w:sz w:val="18"/>
                <w:szCs w:val="18"/>
              </w:rPr>
              <w:t>–</w:t>
            </w:r>
            <w:r w:rsidRPr="00736071">
              <w:rPr>
                <w:rFonts w:ascii="Segoe UI" w:hAnsi="Segoe UI" w:cs="Segoe UI"/>
                <w:sz w:val="18"/>
                <w:szCs w:val="18"/>
              </w:rPr>
              <w:t xml:space="preserve"> </w:t>
            </w:r>
            <w:r>
              <w:rPr>
                <w:rFonts w:ascii="Segoe UI" w:hAnsi="Segoe UI" w:cs="Segoe UI"/>
                <w:sz w:val="18"/>
                <w:szCs w:val="18"/>
              </w:rPr>
              <w:t xml:space="preserve">AB </w:t>
            </w:r>
            <w:r w:rsidRPr="00736071">
              <w:rPr>
                <w:rFonts w:ascii="Segoe UI" w:hAnsi="Segoe UI" w:cs="Segoe UI"/>
                <w:sz w:val="18"/>
                <w:szCs w:val="18"/>
              </w:rPr>
              <w:t>„</w:t>
            </w:r>
            <w:r>
              <w:rPr>
                <w:rFonts w:ascii="Segoe UI" w:hAnsi="Segoe UI" w:cs="Segoe UI"/>
                <w:sz w:val="18"/>
                <w:szCs w:val="18"/>
              </w:rPr>
              <w:t>Ignitis grupė</w:t>
            </w:r>
            <w:r w:rsidRPr="00736071">
              <w:rPr>
                <w:rFonts w:ascii="Segoe UI" w:hAnsi="Segoe UI" w:cs="Segoe UI"/>
                <w:sz w:val="18"/>
                <w:szCs w:val="18"/>
              </w:rPr>
              <w:t>“ įmonių grupei priklausanti įmonė.</w:t>
            </w:r>
          </w:p>
          <w:p w14:paraId="38A00B66" w14:textId="77777777" w:rsidR="006F58FC" w:rsidRPr="00FF358A" w:rsidRDefault="006F58FC" w:rsidP="006F58FC">
            <w:pPr>
              <w:pStyle w:val="ListParagraph"/>
              <w:numPr>
                <w:ilvl w:val="1"/>
                <w:numId w:val="25"/>
              </w:numPr>
              <w:spacing w:after="200"/>
              <w:ind w:left="426" w:hanging="426"/>
              <w:jc w:val="both"/>
              <w:rPr>
                <w:rFonts w:ascii="Segoe UI" w:hAnsi="Segoe UI" w:cs="Segoe UI"/>
                <w:sz w:val="18"/>
                <w:szCs w:val="18"/>
              </w:rPr>
            </w:pPr>
            <w:r w:rsidRPr="00FF358A">
              <w:rPr>
                <w:rFonts w:ascii="Segoe UI" w:hAnsi="Segoe UI" w:cs="Segoe UI"/>
                <w:sz w:val="18"/>
                <w:szCs w:val="18"/>
              </w:rPr>
              <w:t xml:space="preserve">Sąnaudos – </w:t>
            </w:r>
            <w:r>
              <w:rPr>
                <w:rFonts w:ascii="Segoe UI" w:hAnsi="Segoe UI" w:cs="Segoe UI"/>
                <w:sz w:val="18"/>
                <w:szCs w:val="18"/>
              </w:rPr>
              <w:t>Paslaugų teikėjo</w:t>
            </w:r>
            <w:r w:rsidRPr="00FF358A">
              <w:rPr>
                <w:rFonts w:ascii="Segoe UI" w:hAnsi="Segoe UI" w:cs="Segoe UI"/>
                <w:sz w:val="18"/>
                <w:szCs w:val="18"/>
              </w:rPr>
              <w:t xml:space="preserve"> sąnaudos Paslaugoms teikti, išskyrus paramos, labdaros sąnaudas, kompensacijas, baudas, delspinigius ar kitas papildomas sąnaudas, susidariusias dėl </w:t>
            </w:r>
            <w:r>
              <w:rPr>
                <w:rFonts w:ascii="Segoe UI" w:hAnsi="Segoe UI" w:cs="Segoe UI"/>
                <w:sz w:val="18"/>
                <w:szCs w:val="18"/>
              </w:rPr>
              <w:t xml:space="preserve">Paslaugų teikėjo </w:t>
            </w:r>
            <w:r w:rsidRPr="00FF358A">
              <w:rPr>
                <w:rFonts w:ascii="Segoe UI" w:hAnsi="Segoe UI" w:cs="Segoe UI"/>
                <w:sz w:val="18"/>
                <w:szCs w:val="18"/>
              </w:rPr>
              <w:t>neefektyvaus veiklos vykdymo.</w:t>
            </w:r>
          </w:p>
          <w:p w14:paraId="6EE21A40" w14:textId="77777777" w:rsidR="006F58FC" w:rsidRPr="00FF358A" w:rsidRDefault="006F58FC" w:rsidP="006F58FC">
            <w:pPr>
              <w:pStyle w:val="ListParagraph"/>
              <w:numPr>
                <w:ilvl w:val="1"/>
                <w:numId w:val="25"/>
              </w:numPr>
              <w:spacing w:after="200"/>
              <w:ind w:left="426" w:hanging="426"/>
              <w:jc w:val="both"/>
              <w:rPr>
                <w:rFonts w:ascii="Segoe UI" w:hAnsi="Segoe UI" w:cs="Segoe UI"/>
                <w:sz w:val="18"/>
                <w:szCs w:val="18"/>
              </w:rPr>
            </w:pPr>
            <w:r w:rsidRPr="00FF358A">
              <w:rPr>
                <w:rFonts w:ascii="Segoe UI" w:hAnsi="Segoe UI" w:cs="Segoe UI"/>
                <w:sz w:val="18"/>
                <w:szCs w:val="18"/>
              </w:rPr>
              <w:t xml:space="preserve">Tiesioginės sąnaudos – sąnaudos, kurias tiesiogiai galima priskirti  teikiamai Paslaugai – tiesiogiai Paslaugas teikiančių </w:t>
            </w:r>
            <w:r>
              <w:rPr>
                <w:rFonts w:ascii="Segoe UI" w:hAnsi="Segoe UI" w:cs="Segoe UI"/>
                <w:sz w:val="18"/>
                <w:szCs w:val="18"/>
              </w:rPr>
              <w:t xml:space="preserve">Paslaugų teikėjo </w:t>
            </w:r>
            <w:r w:rsidRPr="00FF358A">
              <w:rPr>
                <w:rFonts w:ascii="Segoe UI" w:hAnsi="Segoe UI" w:cs="Segoe UI"/>
                <w:sz w:val="18"/>
                <w:szCs w:val="18"/>
              </w:rPr>
              <w:t>darbuotojų darbo užmokestis, ilgalaikio turto nusidėvėjimas ir amortizacija, trečiųjų šalių paslaugos</w:t>
            </w:r>
            <w:r>
              <w:rPr>
                <w:rFonts w:ascii="Segoe UI" w:hAnsi="Segoe UI" w:cs="Segoe UI"/>
                <w:sz w:val="18"/>
                <w:szCs w:val="18"/>
              </w:rPr>
              <w:t xml:space="preserve"> ir pan</w:t>
            </w:r>
            <w:r w:rsidRPr="00FF358A">
              <w:rPr>
                <w:rFonts w:ascii="Segoe UI" w:hAnsi="Segoe UI" w:cs="Segoe UI"/>
                <w:sz w:val="18"/>
                <w:szCs w:val="18"/>
              </w:rPr>
              <w:t xml:space="preserve">. </w:t>
            </w:r>
          </w:p>
          <w:p w14:paraId="7315ED0D" w14:textId="77777777" w:rsidR="006F58FC" w:rsidRPr="00A7316E" w:rsidRDefault="006F58FC" w:rsidP="006F58FC">
            <w:pPr>
              <w:pStyle w:val="ListParagraph"/>
              <w:numPr>
                <w:ilvl w:val="1"/>
                <w:numId w:val="25"/>
              </w:numPr>
              <w:spacing w:after="200"/>
              <w:ind w:left="426" w:hanging="426"/>
              <w:jc w:val="both"/>
              <w:rPr>
                <w:rFonts w:ascii="Segoe UI" w:hAnsi="Segoe UI" w:cs="Segoe UI"/>
                <w:sz w:val="18"/>
                <w:szCs w:val="18"/>
              </w:rPr>
            </w:pPr>
            <w:r w:rsidRPr="00FF358A">
              <w:rPr>
                <w:rFonts w:ascii="Segoe UI" w:hAnsi="Segoe UI" w:cs="Segoe UI"/>
                <w:sz w:val="18"/>
                <w:szCs w:val="18"/>
              </w:rPr>
              <w:t xml:space="preserve">Netiesioginės sąnaudos – sąnaudos, kurios netiesiogiai (taikant pasirinktus nešiklius) priskiriamos teikiamai Paslaugai – </w:t>
            </w:r>
            <w:r>
              <w:rPr>
                <w:rFonts w:ascii="Segoe UI" w:hAnsi="Segoe UI" w:cs="Segoe UI"/>
                <w:sz w:val="18"/>
                <w:szCs w:val="18"/>
              </w:rPr>
              <w:t xml:space="preserve">Paslaugų teikėjo </w:t>
            </w:r>
            <w:r w:rsidRPr="00FF358A">
              <w:rPr>
                <w:rFonts w:ascii="Segoe UI" w:hAnsi="Segoe UI" w:cs="Segoe UI"/>
                <w:sz w:val="18"/>
                <w:szCs w:val="18"/>
              </w:rPr>
              <w:t>administracijos darbuotojų darbo užmokestis, patalpų nuoma, transporto išlaikymas, ilgalaikio turto nusidėvėjimas ir amortizacija, personalo mokymo sąnaudos ir kitos panašaus pobūdžio sąnaudos.</w:t>
            </w:r>
          </w:p>
          <w:p w14:paraId="2B3409D4" w14:textId="77777777" w:rsidR="006F58FC" w:rsidRDefault="006F58FC" w:rsidP="006F58FC">
            <w:pPr>
              <w:pStyle w:val="ListParagraph"/>
              <w:numPr>
                <w:ilvl w:val="1"/>
                <w:numId w:val="25"/>
              </w:numPr>
              <w:spacing w:after="200"/>
              <w:ind w:left="426" w:hanging="426"/>
              <w:jc w:val="both"/>
              <w:rPr>
                <w:rFonts w:ascii="Segoe UI" w:hAnsi="Segoe UI" w:cs="Segoe UI"/>
                <w:sz w:val="18"/>
                <w:szCs w:val="18"/>
              </w:rPr>
            </w:pPr>
            <w:r w:rsidRPr="00826087">
              <w:rPr>
                <w:rFonts w:ascii="Segoe UI" w:hAnsi="Segoe UI" w:cs="Segoe UI"/>
                <w:sz w:val="18"/>
                <w:szCs w:val="18"/>
              </w:rPr>
              <w:t xml:space="preserve">Perstatomos sąnaudos – </w:t>
            </w:r>
            <w:r>
              <w:rPr>
                <w:rFonts w:ascii="Segoe UI" w:hAnsi="Segoe UI" w:cs="Segoe UI"/>
                <w:sz w:val="18"/>
                <w:szCs w:val="18"/>
              </w:rPr>
              <w:t xml:space="preserve">Paslaugų teikėjo </w:t>
            </w:r>
            <w:r w:rsidRPr="00826087">
              <w:rPr>
                <w:rFonts w:ascii="Segoe UI" w:hAnsi="Segoe UI" w:cs="Segoe UI"/>
                <w:sz w:val="18"/>
                <w:szCs w:val="18"/>
              </w:rPr>
              <w:t xml:space="preserve">patirtos trečiųjų šalių teikiamų paslaugų sąnaudos, kurios nekapitalizuojamos ir kurių poreikį ir apimtį kontroliuoja pats </w:t>
            </w:r>
            <w:r>
              <w:rPr>
                <w:rFonts w:ascii="Segoe UI" w:hAnsi="Segoe UI" w:cs="Segoe UI"/>
                <w:sz w:val="18"/>
                <w:szCs w:val="18"/>
              </w:rPr>
              <w:t>U</w:t>
            </w:r>
            <w:r w:rsidRPr="00826087">
              <w:rPr>
                <w:rFonts w:ascii="Segoe UI" w:hAnsi="Segoe UI" w:cs="Segoe UI"/>
                <w:sz w:val="18"/>
                <w:szCs w:val="18"/>
              </w:rPr>
              <w:t>žsakovas.</w:t>
            </w:r>
          </w:p>
          <w:p w14:paraId="0669D878" w14:textId="77777777" w:rsidR="006F58FC" w:rsidRPr="00736071" w:rsidRDefault="006F58FC" w:rsidP="006F58FC">
            <w:pPr>
              <w:pStyle w:val="ListParagraph"/>
              <w:numPr>
                <w:ilvl w:val="1"/>
                <w:numId w:val="25"/>
              </w:numPr>
              <w:spacing w:after="200"/>
              <w:ind w:left="426" w:hanging="426"/>
              <w:jc w:val="both"/>
              <w:rPr>
                <w:rFonts w:ascii="Segoe UI" w:hAnsi="Segoe UI" w:cs="Segoe UI"/>
                <w:sz w:val="18"/>
                <w:szCs w:val="18"/>
              </w:rPr>
            </w:pPr>
            <w:r w:rsidRPr="00736071">
              <w:rPr>
                <w:rFonts w:ascii="Segoe UI" w:hAnsi="Segoe UI" w:cs="Segoe UI"/>
                <w:sz w:val="18"/>
                <w:szCs w:val="18"/>
              </w:rPr>
              <w:t>Pajamos – Paslaugų teikėjo už suteiktas</w:t>
            </w:r>
            <w:r>
              <w:rPr>
                <w:rFonts w:ascii="Segoe UI" w:hAnsi="Segoe UI" w:cs="Segoe UI"/>
                <w:sz w:val="18"/>
                <w:szCs w:val="18"/>
              </w:rPr>
              <w:t xml:space="preserve"> konkretaus tipo </w:t>
            </w:r>
            <w:r w:rsidRPr="00736071">
              <w:rPr>
                <w:rFonts w:ascii="Segoe UI" w:hAnsi="Segoe UI" w:cs="Segoe UI"/>
                <w:sz w:val="18"/>
                <w:szCs w:val="18"/>
              </w:rPr>
              <w:t>Paslaugas gaunamos pajamos, neįskaitant sumų, gautų kaip kompensacijos</w:t>
            </w:r>
            <w:r>
              <w:rPr>
                <w:rFonts w:ascii="Segoe UI" w:hAnsi="Segoe UI" w:cs="Segoe UI"/>
                <w:sz w:val="18"/>
                <w:szCs w:val="18"/>
              </w:rPr>
              <w:t xml:space="preserve"> už patirtas paslaugų teikimui reikalingas trečiųjų šalių sąnaudas (perstatomos sąnaudos)</w:t>
            </w:r>
            <w:r w:rsidRPr="00736071">
              <w:rPr>
                <w:rFonts w:ascii="Segoe UI" w:hAnsi="Segoe UI" w:cs="Segoe UI"/>
                <w:sz w:val="18"/>
                <w:szCs w:val="18"/>
              </w:rPr>
              <w:t>.</w:t>
            </w:r>
          </w:p>
          <w:p w14:paraId="25A22DE4" w14:textId="77777777" w:rsidR="006F58FC" w:rsidRPr="00826087" w:rsidRDefault="006F58FC" w:rsidP="006F58FC">
            <w:pPr>
              <w:pStyle w:val="ListParagraph"/>
              <w:numPr>
                <w:ilvl w:val="1"/>
                <w:numId w:val="25"/>
              </w:numPr>
              <w:spacing w:after="200"/>
              <w:ind w:left="426" w:hanging="426"/>
              <w:jc w:val="both"/>
              <w:rPr>
                <w:rFonts w:ascii="Segoe UI" w:hAnsi="Segoe UI" w:cs="Segoe UI"/>
                <w:sz w:val="18"/>
                <w:szCs w:val="18"/>
              </w:rPr>
            </w:pPr>
            <w:r w:rsidRPr="00084BCE">
              <w:rPr>
                <w:rFonts w:ascii="Segoe UI" w:hAnsi="Segoe UI" w:cs="Segoe UI"/>
                <w:sz w:val="18"/>
                <w:szCs w:val="18"/>
              </w:rPr>
              <w:t>Paslaugos kiekis – Užsakovui suteiktų Paslaugų apimtis sutartiniais mato vienetais.</w:t>
            </w:r>
          </w:p>
          <w:p w14:paraId="59C74371" w14:textId="77777777" w:rsidR="006F58FC" w:rsidRPr="00084BCE" w:rsidRDefault="006F58FC" w:rsidP="006F58FC">
            <w:pPr>
              <w:pStyle w:val="ListParagraph"/>
              <w:numPr>
                <w:ilvl w:val="1"/>
                <w:numId w:val="25"/>
              </w:numPr>
              <w:spacing w:after="200"/>
              <w:ind w:left="426" w:hanging="426"/>
              <w:jc w:val="both"/>
              <w:rPr>
                <w:rFonts w:ascii="Segoe UI" w:hAnsi="Segoe UI" w:cs="Segoe UI"/>
                <w:sz w:val="18"/>
                <w:szCs w:val="18"/>
              </w:rPr>
            </w:pPr>
            <w:r w:rsidRPr="00826087">
              <w:rPr>
                <w:rFonts w:ascii="Segoe UI" w:hAnsi="Segoe UI" w:cs="Segoe UI"/>
                <w:sz w:val="18"/>
                <w:szCs w:val="18"/>
              </w:rPr>
              <w:t>Antkaini</w:t>
            </w:r>
            <w:r w:rsidRPr="00084BCE">
              <w:rPr>
                <w:rFonts w:ascii="Segoe UI" w:hAnsi="Segoe UI" w:cs="Segoe UI"/>
                <w:sz w:val="18"/>
                <w:szCs w:val="18"/>
              </w:rPr>
              <w:t xml:space="preserve">s (%) – prie kiekvienos teikiamos Paslaugos savikainos pridedamas grynojo antkainio procentinis dydis. </w:t>
            </w:r>
          </w:p>
          <w:p w14:paraId="4C73280E" w14:textId="77777777" w:rsidR="006F58FC" w:rsidRDefault="006F58FC" w:rsidP="006F58FC">
            <w:pPr>
              <w:pStyle w:val="ListParagraph"/>
              <w:numPr>
                <w:ilvl w:val="1"/>
                <w:numId w:val="25"/>
              </w:numPr>
              <w:spacing w:after="200"/>
              <w:ind w:left="426" w:hanging="426"/>
              <w:jc w:val="both"/>
              <w:rPr>
                <w:rFonts w:ascii="Segoe UI" w:hAnsi="Segoe UI" w:cs="Segoe UI"/>
                <w:sz w:val="18"/>
                <w:szCs w:val="18"/>
              </w:rPr>
            </w:pPr>
            <w:r w:rsidRPr="004C1ABF">
              <w:rPr>
                <w:rFonts w:ascii="Segoe UI" w:hAnsi="Segoe UI" w:cs="Segoe UI"/>
                <w:sz w:val="18"/>
                <w:szCs w:val="18"/>
              </w:rPr>
              <w:t xml:space="preserve">Perskaičiuojamos paslaugos – tai Paslaugos, kurių vieneto įkainis yra fiksuojamas su Užsakovu pasirašant </w:t>
            </w:r>
            <w:r>
              <w:rPr>
                <w:rFonts w:ascii="Segoe UI" w:hAnsi="Segoe UI" w:cs="Segoe UI"/>
                <w:sz w:val="18"/>
                <w:szCs w:val="18"/>
              </w:rPr>
              <w:t>Sutartį</w:t>
            </w:r>
            <w:r w:rsidRPr="004C1ABF">
              <w:rPr>
                <w:rFonts w:ascii="Segoe UI" w:hAnsi="Segoe UI" w:cs="Segoe UI"/>
                <w:sz w:val="18"/>
                <w:szCs w:val="18"/>
              </w:rPr>
              <w:t xml:space="preserve"> ir to</w:t>
            </w:r>
            <w:r>
              <w:rPr>
                <w:rFonts w:ascii="Segoe UI" w:hAnsi="Segoe UI" w:cs="Segoe UI"/>
                <w:sz w:val="18"/>
                <w:szCs w:val="18"/>
              </w:rPr>
              <w:t>s</w:t>
            </w:r>
            <w:r w:rsidRPr="004C1ABF">
              <w:rPr>
                <w:rFonts w:ascii="Segoe UI" w:hAnsi="Segoe UI" w:cs="Segoe UI"/>
                <w:sz w:val="18"/>
                <w:szCs w:val="18"/>
              </w:rPr>
              <w:t xml:space="preserve"> </w:t>
            </w:r>
            <w:r>
              <w:rPr>
                <w:rFonts w:ascii="Segoe UI" w:hAnsi="Segoe UI" w:cs="Segoe UI"/>
                <w:sz w:val="18"/>
                <w:szCs w:val="18"/>
              </w:rPr>
              <w:t>Sutarties</w:t>
            </w:r>
            <w:r w:rsidRPr="004C1ABF">
              <w:rPr>
                <w:rFonts w:ascii="Segoe UI" w:hAnsi="Segoe UI" w:cs="Segoe UI"/>
                <w:sz w:val="18"/>
                <w:szCs w:val="18"/>
              </w:rPr>
              <w:t xml:space="preserve"> galiojimo metu yra perskaičiuojamas įvertinus faktiškai per laikotarpį patirtas tai Paslaugai tenkančias sąnaudas.</w:t>
            </w:r>
          </w:p>
          <w:p w14:paraId="78D49166" w14:textId="77777777" w:rsidR="006F58FC" w:rsidRDefault="006F58FC" w:rsidP="006F58FC">
            <w:pPr>
              <w:pStyle w:val="ListParagraph"/>
              <w:numPr>
                <w:ilvl w:val="1"/>
                <w:numId w:val="25"/>
              </w:numPr>
              <w:spacing w:after="200"/>
              <w:ind w:left="426" w:hanging="426"/>
              <w:jc w:val="both"/>
              <w:rPr>
                <w:rFonts w:ascii="Segoe UI" w:hAnsi="Segoe UI" w:cs="Segoe UI"/>
                <w:sz w:val="18"/>
                <w:szCs w:val="18"/>
              </w:rPr>
            </w:pPr>
            <w:r w:rsidRPr="00D90954">
              <w:rPr>
                <w:rFonts w:ascii="Segoe UI" w:hAnsi="Segoe UI" w:cs="Segoe UI"/>
                <w:sz w:val="18"/>
                <w:szCs w:val="18"/>
              </w:rPr>
              <w:t>Papildomos sąnaudos – kitos veiklos sąnaudos, kurios nėra priskiriamos Tiesioginėms sąnaudoms ir Netiesioginėms sąnaudoms  ir nėra įtrauktos į Paslaugų kainą, susijusios su teikiamomis Paslaugomis, kurios patiriamos Užsakovo naudai Užsakovo prašymu iš anksto suderinus su Paslaugų teikėju  – Paslaugas teikiančių Paslaugų teikėjo darbuotojų premijavimo, skatinimo ar papildomo motyvavimo sąnaudos ir kitos panašaus pobūdžio sąnaudos.</w:t>
            </w:r>
          </w:p>
          <w:p w14:paraId="0DDB00FA" w14:textId="77777777" w:rsidR="006F58FC" w:rsidRPr="00A02DE7" w:rsidRDefault="006F58FC" w:rsidP="006F58FC">
            <w:pPr>
              <w:pStyle w:val="ListParagraph"/>
              <w:numPr>
                <w:ilvl w:val="1"/>
                <w:numId w:val="25"/>
              </w:numPr>
              <w:spacing w:after="200"/>
              <w:ind w:left="426" w:hanging="426"/>
              <w:jc w:val="both"/>
              <w:rPr>
                <w:rFonts w:ascii="Segoe UI" w:hAnsi="Segoe UI" w:cs="Segoe UI"/>
                <w:sz w:val="18"/>
                <w:szCs w:val="18"/>
              </w:rPr>
            </w:pPr>
            <w:r w:rsidRPr="00A02DE7">
              <w:rPr>
                <w:rFonts w:ascii="Segoe UI" w:hAnsi="Segoe UI" w:cs="Segoe UI"/>
                <w:sz w:val="18"/>
                <w:szCs w:val="18"/>
              </w:rPr>
              <w:t>Aktas – Paslaugų perdavimo – priėmimo aktas.</w:t>
            </w:r>
          </w:p>
          <w:p w14:paraId="25C1214E" w14:textId="77777777" w:rsidR="006F58FC" w:rsidRPr="00736071" w:rsidRDefault="006F58FC" w:rsidP="006F58FC">
            <w:pPr>
              <w:pStyle w:val="ListParagraph"/>
              <w:ind w:left="426" w:hanging="426"/>
              <w:jc w:val="both"/>
              <w:rPr>
                <w:rFonts w:ascii="Segoe UI" w:hAnsi="Segoe UI" w:cs="Segoe UI"/>
                <w:b/>
                <w:sz w:val="18"/>
                <w:szCs w:val="18"/>
              </w:rPr>
            </w:pPr>
          </w:p>
          <w:p w14:paraId="7D2786CC" w14:textId="77777777" w:rsidR="006F58FC" w:rsidRPr="00736071" w:rsidRDefault="006F58FC" w:rsidP="006F58FC">
            <w:pPr>
              <w:pStyle w:val="ListParagraph"/>
              <w:numPr>
                <w:ilvl w:val="0"/>
                <w:numId w:val="25"/>
              </w:numPr>
              <w:spacing w:after="200"/>
              <w:ind w:left="426" w:hanging="426"/>
              <w:jc w:val="both"/>
              <w:rPr>
                <w:rFonts w:ascii="Segoe UI" w:hAnsi="Segoe UI" w:cs="Segoe UI"/>
                <w:b/>
                <w:sz w:val="18"/>
                <w:szCs w:val="18"/>
              </w:rPr>
            </w:pPr>
            <w:r w:rsidRPr="00736071">
              <w:rPr>
                <w:rFonts w:ascii="Segoe UI" w:hAnsi="Segoe UI" w:cs="Segoe UI"/>
                <w:b/>
                <w:sz w:val="18"/>
                <w:szCs w:val="18"/>
              </w:rPr>
              <w:t xml:space="preserve">Paslaugų </w:t>
            </w:r>
            <w:r>
              <w:rPr>
                <w:rFonts w:ascii="Segoe UI" w:hAnsi="Segoe UI" w:cs="Segoe UI"/>
                <w:b/>
                <w:sz w:val="18"/>
                <w:szCs w:val="18"/>
              </w:rPr>
              <w:t xml:space="preserve">kainodaros </w:t>
            </w:r>
            <w:r w:rsidRPr="00736071">
              <w:rPr>
                <w:rFonts w:ascii="Segoe UI" w:hAnsi="Segoe UI" w:cs="Segoe UI"/>
                <w:b/>
                <w:sz w:val="18"/>
                <w:szCs w:val="18"/>
              </w:rPr>
              <w:t>principai</w:t>
            </w:r>
          </w:p>
          <w:p w14:paraId="706B3BAA" w14:textId="77777777" w:rsidR="006F58FC" w:rsidRPr="00736071" w:rsidRDefault="006F58FC" w:rsidP="006F58FC">
            <w:pPr>
              <w:pStyle w:val="ListParagraph"/>
              <w:ind w:left="426" w:hanging="426"/>
              <w:jc w:val="both"/>
              <w:rPr>
                <w:rFonts w:ascii="Segoe UI" w:hAnsi="Segoe UI" w:cs="Segoe UI"/>
                <w:b/>
                <w:sz w:val="18"/>
                <w:szCs w:val="18"/>
              </w:rPr>
            </w:pPr>
          </w:p>
          <w:p w14:paraId="5CDCD6D3" w14:textId="77777777" w:rsidR="006F58FC" w:rsidRPr="006918AD" w:rsidRDefault="006F58FC" w:rsidP="006F58FC">
            <w:pPr>
              <w:pStyle w:val="ListParagraph"/>
              <w:numPr>
                <w:ilvl w:val="1"/>
                <w:numId w:val="25"/>
              </w:numPr>
              <w:spacing w:after="200"/>
              <w:ind w:left="426" w:hanging="426"/>
              <w:jc w:val="both"/>
              <w:rPr>
                <w:rFonts w:ascii="Segoe UI" w:hAnsi="Segoe UI" w:cs="Segoe UI"/>
                <w:b/>
                <w:sz w:val="18"/>
                <w:szCs w:val="18"/>
              </w:rPr>
            </w:pPr>
            <w:r w:rsidRPr="006918AD">
              <w:rPr>
                <w:rFonts w:ascii="Segoe UI" w:hAnsi="Segoe UI" w:cs="Segoe UI"/>
                <w:sz w:val="18"/>
                <w:szCs w:val="18"/>
              </w:rPr>
              <w:t>Paslaugų teikėjas Paslaugų kainodarą formuoja remdamasis Paslaugų kainodaros principais (toliau – Principai), patvirtintais Paslaugų teikėjo valdybos</w:t>
            </w:r>
            <w:r>
              <w:rPr>
                <w:rFonts w:ascii="Segoe UI" w:hAnsi="Segoe UI" w:cs="Segoe UI"/>
                <w:sz w:val="18"/>
                <w:szCs w:val="18"/>
              </w:rPr>
              <w:t>.</w:t>
            </w:r>
            <w:r w:rsidRPr="006918AD">
              <w:rPr>
                <w:rFonts w:ascii="Segoe UI" w:hAnsi="Segoe UI" w:cs="Segoe UI"/>
                <w:sz w:val="18"/>
                <w:szCs w:val="18"/>
              </w:rPr>
              <w:t xml:space="preserve"> </w:t>
            </w:r>
          </w:p>
          <w:p w14:paraId="1F2A566A" w14:textId="77777777" w:rsidR="006F58FC" w:rsidRDefault="006F58FC" w:rsidP="006F58FC">
            <w:pPr>
              <w:pStyle w:val="ListParagraph"/>
              <w:numPr>
                <w:ilvl w:val="1"/>
                <w:numId w:val="25"/>
              </w:numPr>
              <w:spacing w:after="200"/>
              <w:ind w:left="426" w:hanging="426"/>
              <w:jc w:val="both"/>
              <w:rPr>
                <w:rFonts w:ascii="Segoe UI" w:hAnsi="Segoe UI" w:cs="Segoe UI"/>
                <w:sz w:val="18"/>
                <w:szCs w:val="18"/>
              </w:rPr>
            </w:pPr>
            <w:r>
              <w:rPr>
                <w:rFonts w:ascii="Segoe UI" w:hAnsi="Segoe UI" w:cs="Segoe UI"/>
                <w:sz w:val="18"/>
                <w:szCs w:val="18"/>
              </w:rPr>
              <w:t>Paslaugų teikėjas</w:t>
            </w:r>
            <w:r w:rsidRPr="001E50BB">
              <w:rPr>
                <w:rFonts w:ascii="Segoe UI" w:hAnsi="Segoe UI" w:cs="Segoe UI"/>
                <w:sz w:val="18"/>
                <w:szCs w:val="18"/>
              </w:rPr>
              <w:t>, nustatydama</w:t>
            </w:r>
            <w:r>
              <w:rPr>
                <w:rFonts w:ascii="Segoe UI" w:hAnsi="Segoe UI" w:cs="Segoe UI"/>
                <w:sz w:val="18"/>
                <w:szCs w:val="18"/>
              </w:rPr>
              <w:t>s</w:t>
            </w:r>
            <w:r w:rsidRPr="001E50BB">
              <w:rPr>
                <w:rFonts w:ascii="Segoe UI" w:hAnsi="Segoe UI" w:cs="Segoe UI"/>
                <w:sz w:val="18"/>
                <w:szCs w:val="18"/>
              </w:rPr>
              <w:t xml:space="preserve"> teikiamų Paslaugų kainas, vadovaujasi „veikla pagrįstų išlaidų skaičiavimo sistema“ (ang</w:t>
            </w:r>
            <w:r>
              <w:rPr>
                <w:rFonts w:ascii="Segoe UI" w:hAnsi="Segoe UI" w:cs="Segoe UI"/>
                <w:sz w:val="18"/>
                <w:szCs w:val="18"/>
              </w:rPr>
              <w:t>l</w:t>
            </w:r>
            <w:r w:rsidRPr="001E50BB">
              <w:rPr>
                <w:rFonts w:ascii="Segoe UI" w:hAnsi="Segoe UI" w:cs="Segoe UI"/>
                <w:sz w:val="18"/>
                <w:szCs w:val="18"/>
              </w:rPr>
              <w:t xml:space="preserve">. ABC – Activity Based Costing). Pagal šią sistemą yra išskiriamos sąnaudos, tiesiogiai tenkančios teikiamai Paslaugai (Tiesioginės sąnaudos), bei Netiesioginės sąnaudos. Sudėjus šias sąnaudas, prie jų pridedamas </w:t>
            </w:r>
            <w:r>
              <w:rPr>
                <w:rFonts w:ascii="Segoe UI" w:hAnsi="Segoe UI" w:cs="Segoe UI"/>
                <w:sz w:val="18"/>
                <w:szCs w:val="18"/>
              </w:rPr>
              <w:t xml:space="preserve">nustatytas antkainis </w:t>
            </w:r>
            <w:r w:rsidRPr="001E50BB">
              <w:rPr>
                <w:rFonts w:ascii="Segoe UI" w:hAnsi="Segoe UI" w:cs="Segoe UI"/>
                <w:sz w:val="18"/>
                <w:szCs w:val="18"/>
              </w:rPr>
              <w:t xml:space="preserve">ir taip nustatoma Paslaugos vieneto kaina </w:t>
            </w:r>
            <w:r>
              <w:rPr>
                <w:rFonts w:ascii="Segoe UI" w:hAnsi="Segoe UI" w:cs="Segoe UI"/>
                <w:sz w:val="18"/>
                <w:szCs w:val="18"/>
              </w:rPr>
              <w:t>U</w:t>
            </w:r>
            <w:r w:rsidRPr="001E50BB">
              <w:rPr>
                <w:rFonts w:ascii="Segoe UI" w:hAnsi="Segoe UI" w:cs="Segoe UI"/>
                <w:sz w:val="18"/>
                <w:szCs w:val="18"/>
              </w:rPr>
              <w:t>žsakovui.</w:t>
            </w:r>
          </w:p>
          <w:p w14:paraId="3641DA5A" w14:textId="77777777" w:rsidR="006F58FC" w:rsidRDefault="006F58FC" w:rsidP="006F58FC">
            <w:pPr>
              <w:pStyle w:val="ListParagraph"/>
              <w:numPr>
                <w:ilvl w:val="1"/>
                <w:numId w:val="25"/>
              </w:numPr>
              <w:spacing w:after="200"/>
              <w:ind w:left="426" w:hanging="426"/>
              <w:jc w:val="both"/>
              <w:rPr>
                <w:rFonts w:ascii="Segoe UI" w:hAnsi="Segoe UI" w:cs="Segoe UI"/>
                <w:sz w:val="18"/>
                <w:szCs w:val="18"/>
              </w:rPr>
            </w:pPr>
            <w:bookmarkStart w:id="6" w:name="_Ref24629306"/>
            <w:r w:rsidRPr="001E50BB">
              <w:rPr>
                <w:rFonts w:ascii="Segoe UI" w:hAnsi="Segoe UI" w:cs="Segoe UI"/>
                <w:sz w:val="18"/>
                <w:szCs w:val="18"/>
              </w:rPr>
              <w:t>Antkaini</w:t>
            </w:r>
            <w:r>
              <w:rPr>
                <w:rFonts w:ascii="Segoe UI" w:hAnsi="Segoe UI" w:cs="Segoe UI"/>
                <w:sz w:val="18"/>
                <w:szCs w:val="18"/>
              </w:rPr>
              <w:t>o taikymo principai:</w:t>
            </w:r>
            <w:bookmarkEnd w:id="6"/>
          </w:p>
          <w:p w14:paraId="1762913B" w14:textId="77777777" w:rsidR="006F58FC" w:rsidRDefault="006F58FC" w:rsidP="006F58FC">
            <w:pPr>
              <w:pStyle w:val="ListParagraph"/>
              <w:numPr>
                <w:ilvl w:val="2"/>
                <w:numId w:val="25"/>
              </w:numPr>
              <w:spacing w:after="200"/>
              <w:jc w:val="both"/>
              <w:rPr>
                <w:rFonts w:ascii="Segoe UI" w:hAnsi="Segoe UI" w:cs="Segoe UI"/>
                <w:sz w:val="18"/>
                <w:szCs w:val="18"/>
              </w:rPr>
            </w:pPr>
            <w:r>
              <w:rPr>
                <w:rFonts w:ascii="Segoe UI" w:hAnsi="Segoe UI" w:cs="Segoe UI"/>
                <w:sz w:val="18"/>
                <w:szCs w:val="18"/>
              </w:rPr>
              <w:t>Antkainio dydį nustato Paslaugų teikėjo valdyba ir užfiksuoja Principuose.</w:t>
            </w:r>
          </w:p>
          <w:p w14:paraId="3B6A3271" w14:textId="77777777" w:rsidR="006F58FC" w:rsidRDefault="006F58FC" w:rsidP="006F58FC">
            <w:pPr>
              <w:pStyle w:val="ListParagraph"/>
              <w:numPr>
                <w:ilvl w:val="2"/>
                <w:numId w:val="25"/>
              </w:numPr>
              <w:spacing w:after="200"/>
              <w:jc w:val="both"/>
              <w:rPr>
                <w:rFonts w:ascii="Segoe UI" w:hAnsi="Segoe UI" w:cs="Segoe UI"/>
                <w:sz w:val="18"/>
                <w:szCs w:val="18"/>
              </w:rPr>
            </w:pPr>
            <w:r>
              <w:rPr>
                <w:rFonts w:ascii="Segoe UI" w:hAnsi="Segoe UI" w:cs="Segoe UI"/>
                <w:sz w:val="18"/>
                <w:szCs w:val="18"/>
              </w:rPr>
              <w:t xml:space="preserve">Antkainio dydis peržiūrimas kartą per metus. </w:t>
            </w:r>
          </w:p>
          <w:p w14:paraId="741DE0C1" w14:textId="77777777" w:rsidR="006F58FC" w:rsidRDefault="006F58FC" w:rsidP="006F58FC">
            <w:pPr>
              <w:pStyle w:val="ListParagraph"/>
              <w:numPr>
                <w:ilvl w:val="2"/>
                <w:numId w:val="25"/>
              </w:numPr>
              <w:spacing w:after="200"/>
              <w:jc w:val="both"/>
              <w:rPr>
                <w:rFonts w:ascii="Segoe UI" w:hAnsi="Segoe UI" w:cs="Segoe UI"/>
                <w:sz w:val="18"/>
                <w:szCs w:val="18"/>
              </w:rPr>
            </w:pPr>
            <w:r>
              <w:rPr>
                <w:rFonts w:ascii="Segoe UI" w:hAnsi="Segoe UI" w:cs="Segoe UI"/>
                <w:sz w:val="18"/>
                <w:szCs w:val="18"/>
              </w:rPr>
              <w:t xml:space="preserve">Antkainio dydis nustatomas toks, kad Paslaugų teikėjo ir Užsakovo sandoris atitiktų </w:t>
            </w:r>
            <w:r w:rsidRPr="001E50BB">
              <w:rPr>
                <w:rFonts w:ascii="Segoe UI" w:hAnsi="Segoe UI" w:cs="Segoe UI"/>
                <w:sz w:val="18"/>
                <w:szCs w:val="18"/>
              </w:rPr>
              <w:t>„ištiestos rankos“ princip</w:t>
            </w:r>
            <w:r>
              <w:rPr>
                <w:rFonts w:ascii="Segoe UI" w:hAnsi="Segoe UI" w:cs="Segoe UI"/>
                <w:sz w:val="18"/>
                <w:szCs w:val="18"/>
              </w:rPr>
              <w:t>ą, nes s</w:t>
            </w:r>
            <w:r w:rsidRPr="001E50BB">
              <w:rPr>
                <w:rFonts w:ascii="Segoe UI" w:hAnsi="Segoe UI" w:cs="Segoe UI"/>
                <w:sz w:val="18"/>
                <w:szCs w:val="18"/>
              </w:rPr>
              <w:t xml:space="preserve">iekiant efektyvumo bei atitikties teisės aktų reikalavimams, </w:t>
            </w:r>
            <w:r>
              <w:rPr>
                <w:rFonts w:ascii="Segoe UI" w:hAnsi="Segoe UI" w:cs="Segoe UI"/>
                <w:sz w:val="18"/>
                <w:szCs w:val="18"/>
              </w:rPr>
              <w:t xml:space="preserve">visiems </w:t>
            </w:r>
            <w:r w:rsidRPr="001E50BB">
              <w:rPr>
                <w:rFonts w:ascii="Segoe UI" w:hAnsi="Segoe UI" w:cs="Segoe UI"/>
                <w:sz w:val="18"/>
                <w:szCs w:val="18"/>
              </w:rPr>
              <w:t>AB „Ignitis grupė“ grupės įmonių sudaromiems tarpusavio sandoriams taikomas „ištiestos rankos“ principas</w:t>
            </w:r>
            <w:r>
              <w:rPr>
                <w:rFonts w:ascii="Segoe UI" w:hAnsi="Segoe UI" w:cs="Segoe UI"/>
                <w:sz w:val="18"/>
                <w:szCs w:val="18"/>
              </w:rPr>
              <w:t>.</w:t>
            </w:r>
          </w:p>
          <w:p w14:paraId="394445CC" w14:textId="77777777" w:rsidR="006F58FC" w:rsidRDefault="006F58FC" w:rsidP="006F58FC">
            <w:pPr>
              <w:pStyle w:val="ListParagraph"/>
              <w:numPr>
                <w:ilvl w:val="2"/>
                <w:numId w:val="25"/>
              </w:numPr>
              <w:spacing w:after="200"/>
              <w:jc w:val="both"/>
              <w:rPr>
                <w:rFonts w:ascii="Segoe UI" w:hAnsi="Segoe UI" w:cs="Segoe UI"/>
                <w:sz w:val="18"/>
                <w:szCs w:val="18"/>
              </w:rPr>
            </w:pPr>
            <w:r w:rsidRPr="00164729">
              <w:rPr>
                <w:rFonts w:ascii="Segoe UI" w:hAnsi="Segoe UI" w:cs="Segoe UI"/>
                <w:sz w:val="18"/>
                <w:szCs w:val="18"/>
              </w:rPr>
              <w:t xml:space="preserve">Antkainis taikomas visoms sąnaudoms, kurias patiria </w:t>
            </w:r>
            <w:r w:rsidRPr="001E50BB">
              <w:rPr>
                <w:rFonts w:ascii="Segoe UI" w:hAnsi="Segoe UI" w:cs="Segoe UI"/>
                <w:sz w:val="18"/>
                <w:szCs w:val="18"/>
              </w:rPr>
              <w:t xml:space="preserve">Paslaugų teikėjas, išskyrus: </w:t>
            </w:r>
          </w:p>
          <w:p w14:paraId="0B367C5A" w14:textId="77777777" w:rsidR="006F58FC" w:rsidRPr="00164729" w:rsidRDefault="006F58FC" w:rsidP="006F58FC">
            <w:pPr>
              <w:pStyle w:val="ListParagraph"/>
              <w:numPr>
                <w:ilvl w:val="3"/>
                <w:numId w:val="25"/>
              </w:numPr>
              <w:spacing w:after="200"/>
              <w:jc w:val="both"/>
              <w:rPr>
                <w:rFonts w:ascii="Segoe UI" w:hAnsi="Segoe UI" w:cs="Segoe UI"/>
                <w:sz w:val="18"/>
                <w:szCs w:val="18"/>
              </w:rPr>
            </w:pPr>
            <w:r w:rsidRPr="00164729">
              <w:rPr>
                <w:rFonts w:ascii="Segoe UI" w:hAnsi="Segoe UI" w:cs="Segoe UI"/>
                <w:sz w:val="18"/>
                <w:szCs w:val="18"/>
              </w:rPr>
              <w:t xml:space="preserve">sąnaudoms, kurias Bendrovė patiria pirkdama Paslaugas iš </w:t>
            </w:r>
            <w:r>
              <w:rPr>
                <w:rFonts w:ascii="Segoe UI" w:hAnsi="Segoe UI" w:cs="Segoe UI"/>
                <w:sz w:val="18"/>
                <w:szCs w:val="18"/>
              </w:rPr>
              <w:t xml:space="preserve">AB </w:t>
            </w:r>
            <w:r w:rsidRPr="00164729">
              <w:rPr>
                <w:rFonts w:ascii="Segoe UI" w:hAnsi="Segoe UI" w:cs="Segoe UI"/>
                <w:sz w:val="18"/>
                <w:szCs w:val="18"/>
              </w:rPr>
              <w:t>„</w:t>
            </w:r>
            <w:r>
              <w:rPr>
                <w:rFonts w:ascii="Segoe UI" w:hAnsi="Segoe UI" w:cs="Segoe UI"/>
                <w:sz w:val="18"/>
                <w:szCs w:val="18"/>
              </w:rPr>
              <w:t>Ignitis grupė</w:t>
            </w:r>
            <w:r w:rsidRPr="00164729">
              <w:rPr>
                <w:rFonts w:ascii="Segoe UI" w:hAnsi="Segoe UI" w:cs="Segoe UI"/>
                <w:sz w:val="18"/>
                <w:szCs w:val="18"/>
              </w:rPr>
              <w:t>“</w:t>
            </w:r>
            <w:r>
              <w:rPr>
                <w:rFonts w:ascii="Segoe UI" w:hAnsi="Segoe UI" w:cs="Segoe UI"/>
                <w:sz w:val="18"/>
                <w:szCs w:val="18"/>
              </w:rPr>
              <w:t xml:space="preserve"> </w:t>
            </w:r>
            <w:r w:rsidRPr="00164729">
              <w:rPr>
                <w:rFonts w:ascii="Segoe UI" w:hAnsi="Segoe UI" w:cs="Segoe UI"/>
                <w:sz w:val="18"/>
                <w:szCs w:val="18"/>
              </w:rPr>
              <w:t xml:space="preserve">grupės įmonių; </w:t>
            </w:r>
          </w:p>
          <w:p w14:paraId="444D48FC" w14:textId="77777777" w:rsidR="006F58FC" w:rsidRDefault="006F58FC" w:rsidP="006F58FC">
            <w:pPr>
              <w:pStyle w:val="ListParagraph"/>
              <w:numPr>
                <w:ilvl w:val="3"/>
                <w:numId w:val="25"/>
              </w:numPr>
              <w:spacing w:after="200"/>
              <w:jc w:val="both"/>
              <w:rPr>
                <w:rFonts w:ascii="Segoe UI" w:hAnsi="Segoe UI" w:cs="Segoe UI"/>
                <w:sz w:val="18"/>
                <w:szCs w:val="18"/>
              </w:rPr>
            </w:pPr>
            <w:r w:rsidRPr="001E50BB">
              <w:rPr>
                <w:rFonts w:ascii="Segoe UI" w:hAnsi="Segoe UI" w:cs="Segoe UI"/>
                <w:sz w:val="18"/>
                <w:szCs w:val="18"/>
              </w:rPr>
              <w:t xml:space="preserve">sąnaudoms, kai sąnaudos yra tiesiogiai kompensuojamos </w:t>
            </w:r>
            <w:r>
              <w:rPr>
                <w:rFonts w:ascii="Segoe UI" w:hAnsi="Segoe UI" w:cs="Segoe UI"/>
                <w:sz w:val="18"/>
                <w:szCs w:val="18"/>
              </w:rPr>
              <w:t>U</w:t>
            </w:r>
            <w:r w:rsidRPr="001E50BB">
              <w:rPr>
                <w:rFonts w:ascii="Segoe UI" w:hAnsi="Segoe UI" w:cs="Segoe UI"/>
                <w:sz w:val="18"/>
                <w:szCs w:val="18"/>
              </w:rPr>
              <w:t>žsakovo</w:t>
            </w:r>
            <w:r>
              <w:rPr>
                <w:rFonts w:ascii="Segoe UI" w:hAnsi="Segoe UI" w:cs="Segoe UI"/>
                <w:sz w:val="18"/>
                <w:szCs w:val="18"/>
              </w:rPr>
              <w:t xml:space="preserve"> (Perstatomoms sąnaudoms)</w:t>
            </w:r>
            <w:r w:rsidRPr="001E50BB">
              <w:rPr>
                <w:rFonts w:ascii="Segoe UI" w:hAnsi="Segoe UI" w:cs="Segoe UI"/>
                <w:sz w:val="18"/>
                <w:szCs w:val="18"/>
              </w:rPr>
              <w:t>.</w:t>
            </w:r>
          </w:p>
          <w:p w14:paraId="63F5BF8A" w14:textId="77777777" w:rsidR="006F58FC" w:rsidRPr="00084BCE" w:rsidRDefault="006F58FC" w:rsidP="006F58FC">
            <w:pPr>
              <w:pStyle w:val="ListParagraph"/>
              <w:numPr>
                <w:ilvl w:val="2"/>
                <w:numId w:val="25"/>
              </w:numPr>
              <w:spacing w:after="200"/>
              <w:jc w:val="both"/>
              <w:rPr>
                <w:rFonts w:ascii="Segoe UI" w:hAnsi="Segoe UI" w:cs="Segoe UI"/>
                <w:sz w:val="18"/>
                <w:szCs w:val="18"/>
              </w:rPr>
            </w:pPr>
            <w:r>
              <w:rPr>
                <w:rFonts w:ascii="Segoe UI" w:hAnsi="Segoe UI" w:cs="Segoe UI"/>
                <w:sz w:val="18"/>
                <w:szCs w:val="18"/>
              </w:rPr>
              <w:t>P</w:t>
            </w:r>
            <w:r w:rsidRPr="00084BCE">
              <w:rPr>
                <w:rFonts w:ascii="Segoe UI" w:hAnsi="Segoe UI" w:cs="Segoe UI"/>
                <w:sz w:val="18"/>
                <w:szCs w:val="18"/>
              </w:rPr>
              <w:t>aslaugoms šio Priedo galiojimo laikotarpiui nustatytas antkainis yra 5</w:t>
            </w:r>
            <w:r>
              <w:rPr>
                <w:rFonts w:ascii="Segoe UI" w:hAnsi="Segoe UI" w:cs="Segoe UI"/>
                <w:sz w:val="18"/>
                <w:szCs w:val="18"/>
              </w:rPr>
              <w:t xml:space="preserve"> </w:t>
            </w:r>
            <w:r w:rsidRPr="00084BCE">
              <w:rPr>
                <w:rFonts w:ascii="Segoe UI" w:hAnsi="Segoe UI" w:cs="Segoe UI"/>
                <w:sz w:val="18"/>
                <w:szCs w:val="18"/>
                <w:lang w:val="en-US"/>
              </w:rPr>
              <w:t xml:space="preserve">%. </w:t>
            </w:r>
          </w:p>
          <w:p w14:paraId="65C202B9" w14:textId="77777777" w:rsidR="006F58FC" w:rsidRPr="001E50BB" w:rsidRDefault="006F58FC" w:rsidP="006F58FC">
            <w:pPr>
              <w:pStyle w:val="ListParagraph"/>
              <w:ind w:left="1080"/>
              <w:jc w:val="both"/>
              <w:rPr>
                <w:rFonts w:ascii="Segoe UI" w:hAnsi="Segoe UI" w:cs="Segoe UI"/>
                <w:sz w:val="18"/>
                <w:szCs w:val="18"/>
              </w:rPr>
            </w:pPr>
          </w:p>
          <w:p w14:paraId="5EEF5B22" w14:textId="77777777" w:rsidR="006F58FC" w:rsidRPr="00736071" w:rsidRDefault="006F58FC" w:rsidP="006F58FC">
            <w:pPr>
              <w:pStyle w:val="ListParagraph"/>
              <w:numPr>
                <w:ilvl w:val="1"/>
                <w:numId w:val="25"/>
              </w:numPr>
              <w:spacing w:after="200"/>
              <w:ind w:left="426" w:hanging="426"/>
              <w:jc w:val="both"/>
              <w:rPr>
                <w:rFonts w:ascii="Segoe UI" w:hAnsi="Segoe UI" w:cs="Segoe UI"/>
                <w:sz w:val="18"/>
                <w:szCs w:val="18"/>
              </w:rPr>
            </w:pPr>
            <w:bookmarkStart w:id="7" w:name="_Ref24627804"/>
            <w:r>
              <w:rPr>
                <w:rFonts w:ascii="Segoe UI" w:hAnsi="Segoe UI" w:cs="Segoe UI"/>
                <w:sz w:val="18"/>
                <w:szCs w:val="18"/>
              </w:rPr>
              <w:t xml:space="preserve">Principai taikomi visoms </w:t>
            </w:r>
            <w:r w:rsidRPr="00736071">
              <w:rPr>
                <w:rFonts w:ascii="Segoe UI" w:hAnsi="Segoe UI" w:cs="Segoe UI"/>
                <w:sz w:val="18"/>
                <w:szCs w:val="18"/>
              </w:rPr>
              <w:t>Paslaugų teikėjo teikiamo</w:t>
            </w:r>
            <w:r>
              <w:rPr>
                <w:rFonts w:ascii="Segoe UI" w:hAnsi="Segoe UI" w:cs="Segoe UI"/>
                <w:sz w:val="18"/>
                <w:szCs w:val="18"/>
              </w:rPr>
              <w:t>ms</w:t>
            </w:r>
            <w:r w:rsidRPr="00736071">
              <w:rPr>
                <w:rFonts w:ascii="Segoe UI" w:hAnsi="Segoe UI" w:cs="Segoe UI"/>
                <w:sz w:val="18"/>
                <w:szCs w:val="18"/>
              </w:rPr>
              <w:t xml:space="preserve"> Paslaugo</w:t>
            </w:r>
            <w:r>
              <w:rPr>
                <w:rFonts w:ascii="Segoe UI" w:hAnsi="Segoe UI" w:cs="Segoe UI"/>
                <w:sz w:val="18"/>
                <w:szCs w:val="18"/>
              </w:rPr>
              <w:t>m</w:t>
            </w:r>
            <w:r w:rsidRPr="00736071">
              <w:rPr>
                <w:rFonts w:ascii="Segoe UI" w:hAnsi="Segoe UI" w:cs="Segoe UI"/>
                <w:sz w:val="18"/>
                <w:szCs w:val="18"/>
              </w:rPr>
              <w:t>s</w:t>
            </w:r>
            <w:bookmarkEnd w:id="7"/>
            <w:r>
              <w:rPr>
                <w:rFonts w:ascii="Segoe UI" w:hAnsi="Segoe UI" w:cs="Segoe UI"/>
                <w:sz w:val="18"/>
                <w:szCs w:val="18"/>
              </w:rPr>
              <w:t xml:space="preserve"> pagal šią Sutartį.</w:t>
            </w:r>
          </w:p>
          <w:p w14:paraId="1F87FEB8" w14:textId="77777777" w:rsidR="006F58FC" w:rsidRPr="008A3A8C" w:rsidRDefault="006F58FC" w:rsidP="006F58FC">
            <w:pPr>
              <w:pStyle w:val="ListParagraph"/>
              <w:ind w:left="426" w:hanging="426"/>
              <w:rPr>
                <w:rFonts w:ascii="Segoe UI" w:hAnsi="Segoe UI" w:cs="Segoe UI"/>
                <w:sz w:val="18"/>
                <w:szCs w:val="18"/>
              </w:rPr>
            </w:pPr>
          </w:p>
          <w:p w14:paraId="3F43AABE" w14:textId="77777777" w:rsidR="006F58FC" w:rsidRPr="00491C14" w:rsidRDefault="006F58FC" w:rsidP="006F58FC">
            <w:pPr>
              <w:pStyle w:val="ListParagraph"/>
              <w:numPr>
                <w:ilvl w:val="1"/>
                <w:numId w:val="25"/>
              </w:numPr>
              <w:spacing w:after="200"/>
              <w:ind w:left="426" w:hanging="426"/>
              <w:jc w:val="both"/>
              <w:rPr>
                <w:rFonts w:ascii="Segoe UI" w:hAnsi="Segoe UI" w:cs="Segoe UI"/>
                <w:sz w:val="18"/>
                <w:szCs w:val="18"/>
              </w:rPr>
            </w:pPr>
            <w:r>
              <w:rPr>
                <w:rFonts w:ascii="Segoe UI" w:hAnsi="Segoe UI" w:cs="Segoe UI"/>
                <w:sz w:val="18"/>
                <w:szCs w:val="18"/>
              </w:rPr>
              <w:t>P</w:t>
            </w:r>
            <w:r w:rsidRPr="00491C14">
              <w:rPr>
                <w:rFonts w:ascii="Segoe UI" w:hAnsi="Segoe UI" w:cs="Segoe UI"/>
                <w:sz w:val="18"/>
                <w:szCs w:val="18"/>
              </w:rPr>
              <w:t>aslaugų kainodaros principai:</w:t>
            </w:r>
          </w:p>
          <w:p w14:paraId="21FA02F5" w14:textId="77777777" w:rsidR="006F58FC" w:rsidRPr="006A7D67" w:rsidRDefault="006F58FC" w:rsidP="006F58FC">
            <w:pPr>
              <w:pStyle w:val="ListParagraph"/>
              <w:numPr>
                <w:ilvl w:val="2"/>
                <w:numId w:val="25"/>
              </w:numPr>
              <w:spacing w:after="200"/>
              <w:jc w:val="both"/>
              <w:rPr>
                <w:rFonts w:ascii="Segoe UI" w:hAnsi="Segoe UI" w:cs="Segoe UI"/>
                <w:sz w:val="18"/>
                <w:szCs w:val="18"/>
              </w:rPr>
            </w:pPr>
            <w:r w:rsidRPr="006A7D67">
              <w:rPr>
                <w:rFonts w:ascii="Segoe UI" w:hAnsi="Segoe UI" w:cs="Segoe UI"/>
                <w:sz w:val="18"/>
                <w:szCs w:val="18"/>
              </w:rPr>
              <w:t xml:space="preserve">Sutartinis </w:t>
            </w:r>
            <w:r>
              <w:rPr>
                <w:rFonts w:ascii="Segoe UI" w:hAnsi="Segoe UI" w:cs="Segoe UI"/>
                <w:sz w:val="18"/>
                <w:szCs w:val="18"/>
              </w:rPr>
              <w:t>P</w:t>
            </w:r>
            <w:r w:rsidRPr="006A7D67">
              <w:rPr>
                <w:rFonts w:ascii="Segoe UI" w:hAnsi="Segoe UI" w:cs="Segoe UI"/>
                <w:sz w:val="18"/>
                <w:szCs w:val="18"/>
              </w:rPr>
              <w:t xml:space="preserve">aslaugų vieneto įkainis apskaičiuojamas, įvertinant Tiesiogines ir Netiesiogines </w:t>
            </w:r>
            <w:r>
              <w:rPr>
                <w:rFonts w:ascii="Segoe UI" w:hAnsi="Segoe UI" w:cs="Segoe UI"/>
                <w:sz w:val="18"/>
                <w:szCs w:val="18"/>
              </w:rPr>
              <w:t>P</w:t>
            </w:r>
            <w:r w:rsidRPr="006A7D67">
              <w:rPr>
                <w:rFonts w:ascii="Segoe UI" w:hAnsi="Segoe UI" w:cs="Segoe UI"/>
                <w:sz w:val="18"/>
                <w:szCs w:val="18"/>
              </w:rPr>
              <w:t xml:space="preserve">aslaugai tenkančias sąnaudas, pridedant taikytiną antkainį (kaip nurodyta </w:t>
            </w:r>
            <w:r>
              <w:rPr>
                <w:rFonts w:ascii="Segoe UI" w:hAnsi="Segoe UI" w:cs="Segoe UI"/>
                <w:sz w:val="18"/>
                <w:szCs w:val="18"/>
              </w:rPr>
              <w:fldChar w:fldCharType="begin"/>
            </w:r>
            <w:r>
              <w:rPr>
                <w:rFonts w:ascii="Segoe UI" w:hAnsi="Segoe UI" w:cs="Segoe UI"/>
                <w:sz w:val="18"/>
                <w:szCs w:val="18"/>
              </w:rPr>
              <w:instrText xml:space="preserve"> REF _Ref24629306 \r \h  \* MERGEFORMAT </w:instrText>
            </w:r>
            <w:r>
              <w:rPr>
                <w:rFonts w:ascii="Segoe UI" w:hAnsi="Segoe UI" w:cs="Segoe UI"/>
                <w:sz w:val="18"/>
                <w:szCs w:val="18"/>
              </w:rPr>
            </w:r>
            <w:r>
              <w:rPr>
                <w:rFonts w:ascii="Segoe UI" w:hAnsi="Segoe UI" w:cs="Segoe UI"/>
                <w:sz w:val="18"/>
                <w:szCs w:val="18"/>
              </w:rPr>
              <w:fldChar w:fldCharType="separate"/>
            </w:r>
            <w:r>
              <w:rPr>
                <w:rFonts w:ascii="Segoe UI" w:hAnsi="Segoe UI" w:cs="Segoe UI"/>
                <w:sz w:val="18"/>
                <w:szCs w:val="18"/>
              </w:rPr>
              <w:t>2.3</w:t>
            </w:r>
            <w:r>
              <w:rPr>
                <w:rFonts w:ascii="Segoe UI" w:hAnsi="Segoe UI" w:cs="Segoe UI"/>
                <w:sz w:val="18"/>
                <w:szCs w:val="18"/>
              </w:rPr>
              <w:fldChar w:fldCharType="end"/>
            </w:r>
            <w:r w:rsidRPr="006A7D67">
              <w:rPr>
                <w:rFonts w:ascii="Segoe UI" w:hAnsi="Segoe UI" w:cs="Segoe UI"/>
                <w:sz w:val="18"/>
                <w:szCs w:val="18"/>
              </w:rPr>
              <w:t xml:space="preserve"> punkte) ir padalinant gautą sumą iš prognozuojamo Paslaugos kiekio.</w:t>
            </w:r>
          </w:p>
          <w:p w14:paraId="0F5032DF" w14:textId="77777777" w:rsidR="006F58FC" w:rsidRPr="00063A00" w:rsidRDefault="006F58FC" w:rsidP="006F58FC">
            <w:pPr>
              <w:pStyle w:val="ListParagraph"/>
              <w:numPr>
                <w:ilvl w:val="2"/>
                <w:numId w:val="25"/>
              </w:numPr>
              <w:spacing w:after="200"/>
              <w:jc w:val="both"/>
              <w:rPr>
                <w:rFonts w:ascii="Segoe UI" w:hAnsi="Segoe UI" w:cs="Segoe UI"/>
                <w:sz w:val="18"/>
                <w:szCs w:val="18"/>
              </w:rPr>
            </w:pPr>
            <w:r w:rsidRPr="2F0CD0CA">
              <w:rPr>
                <w:rFonts w:ascii="Segoe UI" w:eastAsia="Segoe UI" w:hAnsi="Segoe UI" w:cs="Segoe UI"/>
                <w:color w:val="000000" w:themeColor="text1"/>
                <w:sz w:val="18"/>
                <w:szCs w:val="18"/>
              </w:rPr>
              <w:t>Paslaugos apmokamos kas mėnesį, pagal faktinį arba sutartinį mėnesio Paslaugų kiekį arba sumą</w:t>
            </w:r>
            <w:r w:rsidRPr="2F0CD0CA">
              <w:rPr>
                <w:rFonts w:ascii="Segoe UI" w:hAnsi="Segoe UI" w:cs="Segoe UI"/>
                <w:sz w:val="18"/>
                <w:szCs w:val="18"/>
              </w:rPr>
              <w:t xml:space="preserve">, kuri apskaičiuojama kaip 1/12 nuo metinės biudžetinės sumos. </w:t>
            </w:r>
          </w:p>
          <w:p w14:paraId="12BC3B87" w14:textId="77777777" w:rsidR="006F58FC" w:rsidRPr="00063A00" w:rsidRDefault="006F58FC" w:rsidP="006F58FC">
            <w:pPr>
              <w:pStyle w:val="ListParagraph"/>
              <w:numPr>
                <w:ilvl w:val="3"/>
                <w:numId w:val="25"/>
              </w:numPr>
              <w:spacing w:after="200"/>
              <w:contextualSpacing w:val="0"/>
              <w:jc w:val="both"/>
            </w:pPr>
            <w:r w:rsidRPr="00063A00">
              <w:rPr>
                <w:rFonts w:ascii="Segoe UI" w:eastAsia="Segoe UI" w:hAnsi="Segoe UI" w:cs="Segoe UI"/>
                <w:sz w:val="18"/>
                <w:szCs w:val="18"/>
              </w:rPr>
              <w:t xml:space="preserve">Kadangi Grupė siekia ankstinti apskaitos dokumentų pateikimo ir suderinimo terminus, mėnesio sąskaitos faktūros gali būti pateikiamos pagal sutartinius kiekius, o Aktuose užfiksuojami ir suderinami faktiniai kiekiai. Tokiu atveju kiekių patikslinimo efektas yra įvertinamas perskaičiavimo metu. Tarpiniai skirtumo patikrinimai </w:t>
            </w:r>
            <w:r w:rsidRPr="00063A00">
              <w:rPr>
                <w:rFonts w:ascii="Segoe UI" w:eastAsia="Segoe UI" w:hAnsi="Segoe UI" w:cs="Segoe UI"/>
                <w:sz w:val="18"/>
                <w:szCs w:val="18"/>
              </w:rPr>
              <w:lastRenderedPageBreak/>
              <w:t>atliekami ne rečiau kaip kas 6 mėnesius ir, jeigu skirtumo piniginė suma (vertinant visą tikrinamą laikotarpį) tarp už tą laikotarpį pateiktų sąskaitų-faktūrų sumos ir sumos, kurią Užsakovas būtų turėjęs sumokėti pagal suderintus Aktus su užfiksuotais faktiniais kiekiais, yra didesnė nei 20 proc., Šalims sutarus, skirtumui išlyginti abiejų Šalių apskaitoje atliekami sukaupimai.</w:t>
            </w:r>
            <w:r w:rsidRPr="00063A00">
              <w:t xml:space="preserve"> </w:t>
            </w:r>
          </w:p>
          <w:p w14:paraId="5A446B74" w14:textId="77777777" w:rsidR="006F58FC" w:rsidRPr="00826087" w:rsidRDefault="006F58FC" w:rsidP="006F58FC">
            <w:pPr>
              <w:pStyle w:val="ListParagraph"/>
              <w:numPr>
                <w:ilvl w:val="2"/>
                <w:numId w:val="25"/>
              </w:numPr>
              <w:spacing w:after="200"/>
              <w:jc w:val="both"/>
              <w:rPr>
                <w:rFonts w:ascii="Segoe UI" w:hAnsi="Segoe UI" w:cs="Segoe UI"/>
                <w:sz w:val="18"/>
                <w:szCs w:val="18"/>
              </w:rPr>
            </w:pPr>
            <w:r w:rsidRPr="00826087">
              <w:rPr>
                <w:rFonts w:ascii="Segoe UI" w:hAnsi="Segoe UI" w:cs="Segoe UI"/>
                <w:sz w:val="18"/>
                <w:szCs w:val="18"/>
              </w:rPr>
              <w:t xml:space="preserve">Perskaičiuojamoms Paslaugoms atliekamas </w:t>
            </w:r>
            <w:r>
              <w:rPr>
                <w:rFonts w:ascii="Segoe UI" w:hAnsi="Segoe UI" w:cs="Segoe UI"/>
                <w:sz w:val="18"/>
                <w:szCs w:val="18"/>
              </w:rPr>
              <w:t>Paslaugų kainų</w:t>
            </w:r>
            <w:r w:rsidRPr="00826087">
              <w:rPr>
                <w:rFonts w:ascii="Segoe UI" w:hAnsi="Segoe UI" w:cs="Segoe UI"/>
                <w:sz w:val="18"/>
                <w:szCs w:val="18"/>
              </w:rPr>
              <w:t xml:space="preserve"> perskaičiavimas, kaip nurodyta </w:t>
            </w:r>
            <w:r>
              <w:rPr>
                <w:rFonts w:ascii="Segoe UI" w:hAnsi="Segoe UI" w:cs="Segoe UI"/>
                <w:sz w:val="18"/>
                <w:szCs w:val="18"/>
              </w:rPr>
              <w:fldChar w:fldCharType="begin"/>
            </w:r>
            <w:r>
              <w:rPr>
                <w:rFonts w:ascii="Segoe UI" w:hAnsi="Segoe UI" w:cs="Segoe UI"/>
                <w:sz w:val="18"/>
                <w:szCs w:val="18"/>
              </w:rPr>
              <w:instrText xml:space="preserve"> REF _Ref24986986 \r \h </w:instrText>
            </w:r>
            <w:r>
              <w:rPr>
                <w:rFonts w:ascii="Segoe UI" w:hAnsi="Segoe UI" w:cs="Segoe UI"/>
                <w:sz w:val="18"/>
                <w:szCs w:val="18"/>
              </w:rPr>
            </w:r>
            <w:r>
              <w:rPr>
                <w:rFonts w:ascii="Segoe UI" w:hAnsi="Segoe UI" w:cs="Segoe UI"/>
                <w:sz w:val="18"/>
                <w:szCs w:val="18"/>
              </w:rPr>
              <w:fldChar w:fldCharType="separate"/>
            </w:r>
            <w:r>
              <w:rPr>
                <w:rFonts w:ascii="Segoe UI" w:hAnsi="Segoe UI" w:cs="Segoe UI"/>
                <w:sz w:val="18"/>
                <w:szCs w:val="18"/>
              </w:rPr>
              <w:t>3</w:t>
            </w:r>
            <w:r>
              <w:rPr>
                <w:rFonts w:ascii="Segoe UI" w:hAnsi="Segoe UI" w:cs="Segoe UI"/>
                <w:sz w:val="18"/>
                <w:szCs w:val="18"/>
              </w:rPr>
              <w:fldChar w:fldCharType="end"/>
            </w:r>
            <w:r>
              <w:rPr>
                <w:rFonts w:ascii="Segoe UI" w:hAnsi="Segoe UI" w:cs="Segoe UI"/>
                <w:sz w:val="18"/>
                <w:szCs w:val="18"/>
              </w:rPr>
              <w:t xml:space="preserve"> </w:t>
            </w:r>
            <w:r w:rsidRPr="00826087">
              <w:rPr>
                <w:rFonts w:ascii="Segoe UI" w:hAnsi="Segoe UI" w:cs="Segoe UI"/>
                <w:sz w:val="18"/>
                <w:szCs w:val="18"/>
              </w:rPr>
              <w:t>punkte.</w:t>
            </w:r>
          </w:p>
          <w:p w14:paraId="0DDB30F0" w14:textId="77777777" w:rsidR="006F58FC" w:rsidRDefault="006F58FC" w:rsidP="006F58FC">
            <w:pPr>
              <w:pStyle w:val="ListParagraph"/>
              <w:ind w:left="426" w:hanging="426"/>
              <w:jc w:val="both"/>
              <w:rPr>
                <w:rFonts w:ascii="Segoe UI" w:hAnsi="Segoe UI" w:cs="Segoe UI"/>
                <w:sz w:val="18"/>
                <w:szCs w:val="18"/>
              </w:rPr>
            </w:pPr>
          </w:p>
          <w:p w14:paraId="2CF11AF7" w14:textId="77777777" w:rsidR="006F58FC" w:rsidRPr="004471ED" w:rsidRDefault="006F58FC" w:rsidP="006F58FC">
            <w:pPr>
              <w:pStyle w:val="ListParagraph"/>
              <w:numPr>
                <w:ilvl w:val="1"/>
                <w:numId w:val="25"/>
              </w:numPr>
              <w:spacing w:after="200"/>
              <w:ind w:left="426" w:hanging="426"/>
              <w:jc w:val="both"/>
              <w:rPr>
                <w:rFonts w:ascii="Segoe UI" w:hAnsi="Segoe UI" w:cs="Segoe UI"/>
                <w:sz w:val="18"/>
                <w:szCs w:val="18"/>
              </w:rPr>
            </w:pPr>
            <w:r>
              <w:rPr>
                <w:rFonts w:ascii="Segoe UI" w:hAnsi="Segoe UI" w:cs="Segoe UI"/>
                <w:sz w:val="18"/>
                <w:szCs w:val="18"/>
              </w:rPr>
              <w:t>Perstatomų s</w:t>
            </w:r>
            <w:r w:rsidRPr="00736071">
              <w:rPr>
                <w:rFonts w:ascii="Segoe UI" w:hAnsi="Segoe UI" w:cs="Segoe UI"/>
                <w:sz w:val="18"/>
                <w:szCs w:val="18"/>
              </w:rPr>
              <w:t xml:space="preserve">ąnaudų </w:t>
            </w:r>
            <w:r w:rsidRPr="00D90954">
              <w:rPr>
                <w:rFonts w:ascii="Segoe UI" w:hAnsi="Segoe UI" w:cs="Segoe UI"/>
                <w:sz w:val="18"/>
                <w:szCs w:val="18"/>
              </w:rPr>
              <w:t xml:space="preserve">ir Papildomų sąnaudų </w:t>
            </w:r>
            <w:r w:rsidRPr="00736071">
              <w:rPr>
                <w:rFonts w:ascii="Segoe UI" w:hAnsi="Segoe UI" w:cs="Segoe UI"/>
                <w:sz w:val="18"/>
                <w:szCs w:val="18"/>
              </w:rPr>
              <w:t>kompensavimas</w:t>
            </w:r>
            <w:r>
              <w:rPr>
                <w:rFonts w:ascii="Segoe UI" w:hAnsi="Segoe UI" w:cs="Segoe UI"/>
                <w:sz w:val="18"/>
                <w:szCs w:val="18"/>
              </w:rPr>
              <w:t xml:space="preserve">: Perstatomas </w:t>
            </w:r>
            <w:r w:rsidRPr="004471ED">
              <w:rPr>
                <w:rFonts w:ascii="Segoe UI" w:hAnsi="Segoe UI" w:cs="Segoe UI"/>
                <w:sz w:val="18"/>
                <w:szCs w:val="18"/>
              </w:rPr>
              <w:t xml:space="preserve">sąnaudas </w:t>
            </w:r>
            <w:r w:rsidRPr="00D90954">
              <w:rPr>
                <w:rFonts w:ascii="Segoe UI" w:hAnsi="Segoe UI" w:cs="Segoe UI"/>
                <w:sz w:val="18"/>
                <w:szCs w:val="18"/>
              </w:rPr>
              <w:t>ir Papildomas sąnaudas</w:t>
            </w:r>
            <w:r>
              <w:rPr>
                <w:rFonts w:ascii="Segoe UI" w:hAnsi="Segoe UI" w:cs="Segoe UI"/>
                <w:sz w:val="18"/>
                <w:szCs w:val="18"/>
              </w:rPr>
              <w:t xml:space="preserve"> </w:t>
            </w:r>
            <w:r w:rsidRPr="004471ED">
              <w:rPr>
                <w:rFonts w:ascii="Segoe UI" w:hAnsi="Segoe UI" w:cs="Segoe UI"/>
                <w:sz w:val="18"/>
                <w:szCs w:val="18"/>
              </w:rPr>
              <w:t xml:space="preserve">Užsakovas kompensuoja Paslaugų teikėjui netaikant </w:t>
            </w:r>
            <w:r>
              <w:rPr>
                <w:rFonts w:ascii="Segoe UI" w:hAnsi="Segoe UI" w:cs="Segoe UI"/>
                <w:sz w:val="18"/>
                <w:szCs w:val="18"/>
              </w:rPr>
              <w:t>antkainio</w:t>
            </w:r>
            <w:r w:rsidRPr="004471ED">
              <w:rPr>
                <w:rFonts w:ascii="Segoe UI" w:hAnsi="Segoe UI" w:cs="Segoe UI"/>
                <w:sz w:val="18"/>
                <w:szCs w:val="18"/>
              </w:rPr>
              <w:t>.</w:t>
            </w:r>
          </w:p>
          <w:p w14:paraId="38A43CEA" w14:textId="77777777" w:rsidR="006F58FC" w:rsidRDefault="006F58FC" w:rsidP="006F58FC">
            <w:pPr>
              <w:pStyle w:val="ListParagraph"/>
              <w:ind w:left="426"/>
              <w:jc w:val="both"/>
              <w:rPr>
                <w:rFonts w:ascii="Segoe UI" w:hAnsi="Segoe UI" w:cs="Segoe UI"/>
                <w:sz w:val="18"/>
                <w:szCs w:val="18"/>
              </w:rPr>
            </w:pPr>
          </w:p>
          <w:p w14:paraId="0FC1A5EB" w14:textId="77777777" w:rsidR="006F58FC" w:rsidRPr="00164729" w:rsidRDefault="006F58FC" w:rsidP="006F58FC">
            <w:pPr>
              <w:pStyle w:val="ListParagraph"/>
              <w:numPr>
                <w:ilvl w:val="0"/>
                <w:numId w:val="25"/>
              </w:numPr>
              <w:spacing w:after="200"/>
              <w:ind w:left="426" w:hanging="426"/>
              <w:jc w:val="both"/>
              <w:rPr>
                <w:rFonts w:ascii="Segoe UI" w:hAnsi="Segoe UI" w:cs="Segoe UI"/>
                <w:b/>
                <w:sz w:val="18"/>
                <w:szCs w:val="18"/>
              </w:rPr>
            </w:pPr>
            <w:bookmarkStart w:id="8" w:name="_Ref24986986"/>
            <w:r w:rsidRPr="00164729">
              <w:rPr>
                <w:rFonts w:ascii="Segoe UI" w:hAnsi="Segoe UI" w:cs="Segoe UI"/>
                <w:b/>
                <w:sz w:val="18"/>
                <w:szCs w:val="18"/>
              </w:rPr>
              <w:t>Perskaičiavimo taisyklės</w:t>
            </w:r>
            <w:bookmarkEnd w:id="8"/>
          </w:p>
          <w:p w14:paraId="1306D1BC" w14:textId="77777777" w:rsidR="006F58FC" w:rsidRPr="003D0D84" w:rsidRDefault="006F58FC" w:rsidP="006F58FC">
            <w:pPr>
              <w:pStyle w:val="ListParagraph"/>
              <w:ind w:left="426" w:hanging="426"/>
              <w:jc w:val="both"/>
              <w:rPr>
                <w:rFonts w:ascii="Segoe UI" w:hAnsi="Segoe UI" w:cs="Segoe UI"/>
                <w:sz w:val="18"/>
                <w:szCs w:val="18"/>
              </w:rPr>
            </w:pPr>
          </w:p>
          <w:p w14:paraId="07A8D6F7" w14:textId="77777777" w:rsidR="006F58FC" w:rsidRDefault="006F58FC" w:rsidP="006F58FC">
            <w:pPr>
              <w:pStyle w:val="ListParagraph"/>
              <w:numPr>
                <w:ilvl w:val="1"/>
                <w:numId w:val="25"/>
              </w:numPr>
              <w:spacing w:after="200"/>
              <w:ind w:left="426" w:hanging="426"/>
              <w:jc w:val="both"/>
              <w:rPr>
                <w:rFonts w:ascii="Segoe UI" w:hAnsi="Segoe UI" w:cs="Segoe UI"/>
                <w:sz w:val="18"/>
                <w:szCs w:val="18"/>
              </w:rPr>
            </w:pPr>
            <w:bookmarkStart w:id="9" w:name="_Ref24986080"/>
            <w:r>
              <w:rPr>
                <w:rFonts w:ascii="Segoe UI" w:hAnsi="Segoe UI" w:cs="Segoe UI"/>
                <w:sz w:val="18"/>
                <w:szCs w:val="18"/>
              </w:rPr>
              <w:t xml:space="preserve">Paslaugų kainos perskaičiuojamos ne rečiau nei du kartus per metus. </w:t>
            </w:r>
          </w:p>
          <w:p w14:paraId="734B8803" w14:textId="77777777" w:rsidR="006F58FC" w:rsidRDefault="006F58FC" w:rsidP="006F58FC">
            <w:pPr>
              <w:pStyle w:val="ListParagraph"/>
              <w:numPr>
                <w:ilvl w:val="1"/>
                <w:numId w:val="25"/>
              </w:numPr>
              <w:spacing w:after="200"/>
              <w:ind w:left="426" w:hanging="426"/>
              <w:jc w:val="both"/>
              <w:rPr>
                <w:rFonts w:ascii="Segoe UI" w:hAnsi="Segoe UI" w:cs="Segoe UI"/>
                <w:sz w:val="18"/>
                <w:szCs w:val="18"/>
              </w:rPr>
            </w:pPr>
            <w:bookmarkStart w:id="10" w:name="_Ref150768452"/>
            <w:r w:rsidRPr="495AAB0A">
              <w:rPr>
                <w:rFonts w:ascii="Segoe UI" w:hAnsi="Segoe UI" w:cs="Segoe UI"/>
                <w:sz w:val="18"/>
                <w:szCs w:val="18"/>
              </w:rPr>
              <w:t>Paslaugų kainų perskaičiavimo laikotarpiai:</w:t>
            </w:r>
            <w:bookmarkEnd w:id="9"/>
            <w:bookmarkEnd w:id="10"/>
          </w:p>
          <w:p w14:paraId="33ADC377" w14:textId="77777777" w:rsidR="006F58FC" w:rsidRDefault="006F58FC" w:rsidP="006F58FC">
            <w:pPr>
              <w:pStyle w:val="ListParagraph"/>
              <w:numPr>
                <w:ilvl w:val="2"/>
                <w:numId w:val="25"/>
              </w:numPr>
              <w:spacing w:after="200"/>
              <w:jc w:val="both"/>
              <w:rPr>
                <w:rFonts w:ascii="Segoe UI" w:hAnsi="Segoe UI" w:cs="Segoe UI"/>
                <w:sz w:val="18"/>
                <w:szCs w:val="18"/>
              </w:rPr>
            </w:pPr>
            <w:r>
              <w:rPr>
                <w:rFonts w:ascii="Segoe UI" w:hAnsi="Segoe UI" w:cs="Segoe UI"/>
                <w:sz w:val="18"/>
                <w:szCs w:val="18"/>
              </w:rPr>
              <w:t>K</w:t>
            </w:r>
            <w:r w:rsidRPr="00FE4AAF">
              <w:rPr>
                <w:rFonts w:ascii="Segoe UI" w:hAnsi="Segoe UI" w:cs="Segoe UI"/>
                <w:sz w:val="18"/>
                <w:szCs w:val="18"/>
              </w:rPr>
              <w:t>iekvienų kalendorinių metų</w:t>
            </w:r>
            <w:r>
              <w:rPr>
                <w:rFonts w:ascii="Segoe UI" w:hAnsi="Segoe UI" w:cs="Segoe UI"/>
                <w:sz w:val="18"/>
                <w:szCs w:val="18"/>
              </w:rPr>
              <w:t>:</w:t>
            </w:r>
          </w:p>
          <w:p w14:paraId="2C30871F" w14:textId="77777777" w:rsidR="006F58FC" w:rsidRPr="005D098F" w:rsidRDefault="006F58FC" w:rsidP="006F58FC">
            <w:pPr>
              <w:pStyle w:val="ListParagraph"/>
              <w:numPr>
                <w:ilvl w:val="3"/>
                <w:numId w:val="25"/>
              </w:numPr>
              <w:spacing w:after="200"/>
              <w:jc w:val="both"/>
            </w:pPr>
            <w:r w:rsidRPr="495AAB0A">
              <w:rPr>
                <w:rFonts w:ascii="Segoe UI" w:hAnsi="Segoe UI" w:cs="Segoe UI"/>
                <w:sz w:val="18"/>
                <w:szCs w:val="18"/>
              </w:rPr>
              <w:t xml:space="preserve">sausio – spalio mėnesiai; perskaičiavimas atliekamas ir tikslinančios sąskaitos faktūros pateikiamos iki gruodžio 10 d. </w:t>
            </w:r>
            <w:r w:rsidRPr="00063A00">
              <w:rPr>
                <w:rFonts w:ascii="Segoe UI" w:eastAsia="Segoe UI" w:hAnsi="Segoe UI" w:cs="Segoe UI"/>
                <w:sz w:val="18"/>
                <w:szCs w:val="18"/>
              </w:rPr>
              <w:t>Į šį perskaičiavimą įtraukiama ir prognozuojama perskaičiavimo suma už lapkričio bei gruodžio mėnesius.</w:t>
            </w:r>
            <w:r w:rsidRPr="00063A00">
              <w:rPr>
                <w:rFonts w:ascii="Segoe UI" w:eastAsia="Segoe UI" w:hAnsi="Segoe UI" w:cs="Segoe UI"/>
                <w:sz w:val="18"/>
                <w:szCs w:val="18"/>
                <w:u w:val="single"/>
              </w:rPr>
              <w:t xml:space="preserve"> </w:t>
            </w:r>
            <w:r w:rsidRPr="00063A00">
              <w:t xml:space="preserve"> </w:t>
            </w:r>
          </w:p>
          <w:p w14:paraId="5CBC7066" w14:textId="77777777" w:rsidR="006F58FC" w:rsidRPr="005D098F" w:rsidRDefault="006F58FC" w:rsidP="006F58FC">
            <w:pPr>
              <w:pStyle w:val="ListParagraph"/>
              <w:numPr>
                <w:ilvl w:val="3"/>
                <w:numId w:val="25"/>
              </w:numPr>
              <w:spacing w:after="200"/>
              <w:jc w:val="both"/>
              <w:rPr>
                <w:rFonts w:ascii="Segoe UI" w:hAnsi="Segoe UI" w:cs="Segoe UI"/>
                <w:sz w:val="18"/>
                <w:szCs w:val="18"/>
              </w:rPr>
            </w:pPr>
            <w:r w:rsidRPr="495AAB0A">
              <w:rPr>
                <w:rFonts w:ascii="Segoe UI" w:hAnsi="Segoe UI" w:cs="Segoe UI"/>
                <w:sz w:val="18"/>
                <w:szCs w:val="18"/>
              </w:rPr>
              <w:t xml:space="preserve">lapkričio  –  gruodžio mėnesiai; perskaičiavimas atliekamas ir tikslinančios sąskaitos faktūros pateikiamos iki kitų metų kovo 10 d. </w:t>
            </w:r>
          </w:p>
          <w:p w14:paraId="4430E57A" w14:textId="77777777" w:rsidR="006F58FC" w:rsidRDefault="006F58FC" w:rsidP="006F58FC">
            <w:pPr>
              <w:pStyle w:val="ListParagraph"/>
              <w:numPr>
                <w:ilvl w:val="1"/>
                <w:numId w:val="25"/>
              </w:numPr>
              <w:spacing w:after="200"/>
              <w:ind w:left="426" w:hanging="426"/>
              <w:jc w:val="both"/>
              <w:rPr>
                <w:rFonts w:ascii="Segoe UI" w:hAnsi="Segoe UI" w:cs="Segoe UI"/>
                <w:sz w:val="18"/>
                <w:szCs w:val="18"/>
              </w:rPr>
            </w:pPr>
            <w:r w:rsidRPr="003D0D84">
              <w:rPr>
                <w:rFonts w:ascii="Segoe UI" w:hAnsi="Segoe UI" w:cs="Segoe UI"/>
                <w:sz w:val="18"/>
                <w:szCs w:val="18"/>
              </w:rPr>
              <w:t>Pasibaigus</w:t>
            </w:r>
            <w:r>
              <w:rPr>
                <w:rFonts w:ascii="Segoe UI" w:hAnsi="Segoe UI" w:cs="Segoe UI"/>
                <w:sz w:val="18"/>
                <w:szCs w:val="18"/>
              </w:rPr>
              <w:t xml:space="preserve"> kiekvienam</w:t>
            </w:r>
            <w:r w:rsidRPr="003D0D84">
              <w:rPr>
                <w:rFonts w:ascii="Segoe UI" w:hAnsi="Segoe UI" w:cs="Segoe UI"/>
                <w:sz w:val="18"/>
                <w:szCs w:val="18"/>
              </w:rPr>
              <w:t xml:space="preserve"> </w:t>
            </w:r>
            <w:r>
              <w:rPr>
                <w:rFonts w:ascii="Segoe UI" w:hAnsi="Segoe UI" w:cs="Segoe UI"/>
                <w:sz w:val="18"/>
                <w:szCs w:val="18"/>
              </w:rPr>
              <w:t xml:space="preserve">atitinkamo Paslaugų tipo kainų perskaičiavimo laikotarpiui, nurodytam </w:t>
            </w:r>
            <w:r w:rsidRPr="495AAB0A">
              <w:rPr>
                <w:rFonts w:ascii="Segoe UI" w:hAnsi="Segoe UI" w:cs="Segoe UI"/>
                <w:sz w:val="18"/>
                <w:szCs w:val="18"/>
              </w:rPr>
              <w:fldChar w:fldCharType="begin"/>
            </w:r>
            <w:r w:rsidRPr="495AAB0A">
              <w:rPr>
                <w:rFonts w:ascii="Segoe UI" w:hAnsi="Segoe UI" w:cs="Segoe UI"/>
                <w:sz w:val="18"/>
                <w:szCs w:val="18"/>
              </w:rPr>
              <w:instrText xml:space="preserve"> REF _Ref150768452 \r \h </w:instrText>
            </w:r>
            <w:r w:rsidRPr="495AAB0A">
              <w:rPr>
                <w:rFonts w:ascii="Segoe UI" w:hAnsi="Segoe UI" w:cs="Segoe UI"/>
                <w:sz w:val="18"/>
                <w:szCs w:val="18"/>
              </w:rPr>
            </w:r>
            <w:r w:rsidRPr="495AAB0A">
              <w:rPr>
                <w:rFonts w:ascii="Segoe UI" w:hAnsi="Segoe UI" w:cs="Segoe UI"/>
                <w:sz w:val="18"/>
                <w:szCs w:val="18"/>
              </w:rPr>
              <w:fldChar w:fldCharType="separate"/>
            </w:r>
            <w:r w:rsidRPr="495AAB0A">
              <w:rPr>
                <w:rFonts w:ascii="Segoe UI" w:hAnsi="Segoe UI" w:cs="Segoe UI"/>
                <w:sz w:val="18"/>
                <w:szCs w:val="18"/>
              </w:rPr>
              <w:t>3.2</w:t>
            </w:r>
            <w:r w:rsidRPr="495AAB0A">
              <w:rPr>
                <w:rFonts w:ascii="Segoe UI" w:hAnsi="Segoe UI" w:cs="Segoe UI"/>
                <w:sz w:val="18"/>
                <w:szCs w:val="18"/>
              </w:rPr>
              <w:fldChar w:fldCharType="end"/>
            </w:r>
            <w:r>
              <w:rPr>
                <w:rFonts w:ascii="Segoe UI" w:hAnsi="Segoe UI" w:cs="Segoe UI"/>
                <w:sz w:val="18"/>
                <w:szCs w:val="18"/>
              </w:rPr>
              <w:t xml:space="preserve"> punkte, </w:t>
            </w:r>
            <w:r w:rsidRPr="003D0D84">
              <w:rPr>
                <w:rFonts w:ascii="Segoe UI" w:hAnsi="Segoe UI" w:cs="Segoe UI"/>
                <w:sz w:val="18"/>
                <w:szCs w:val="18"/>
              </w:rPr>
              <w:t>ne vėliau</w:t>
            </w:r>
            <w:r w:rsidRPr="495AAB0A">
              <w:rPr>
                <w:rFonts w:ascii="Segoe UI" w:hAnsi="Segoe UI" w:cs="Segoe UI"/>
                <w:sz w:val="18"/>
                <w:szCs w:val="18"/>
              </w:rPr>
              <w:t>,</w:t>
            </w:r>
            <w:r w:rsidRPr="003D0D84">
              <w:rPr>
                <w:rFonts w:ascii="Segoe UI" w:hAnsi="Segoe UI" w:cs="Segoe UI"/>
                <w:sz w:val="18"/>
                <w:szCs w:val="18"/>
              </w:rPr>
              <w:t xml:space="preserve"> nei </w:t>
            </w:r>
            <w:r>
              <w:rPr>
                <w:rFonts w:ascii="Segoe UI" w:hAnsi="Segoe UI" w:cs="Segoe UI"/>
                <w:sz w:val="18"/>
                <w:szCs w:val="18"/>
              </w:rPr>
              <w:t xml:space="preserve">nurodyta prie kiekvieno perskaičiavimo laikotarpio, </w:t>
            </w:r>
            <w:r w:rsidRPr="003D0D84">
              <w:rPr>
                <w:rFonts w:ascii="Segoe UI" w:hAnsi="Segoe UI" w:cs="Segoe UI"/>
                <w:sz w:val="18"/>
                <w:szCs w:val="18"/>
              </w:rPr>
              <w:t xml:space="preserve">Paslaugų teikėjas įvertina, ar </w:t>
            </w:r>
            <w:r>
              <w:rPr>
                <w:rFonts w:ascii="Segoe UI" w:hAnsi="Segoe UI" w:cs="Segoe UI"/>
                <w:sz w:val="18"/>
                <w:szCs w:val="18"/>
              </w:rPr>
              <w:t xml:space="preserve">kiekvienam </w:t>
            </w:r>
            <w:r w:rsidRPr="003D0D84">
              <w:rPr>
                <w:rFonts w:ascii="Segoe UI" w:hAnsi="Segoe UI" w:cs="Segoe UI"/>
                <w:sz w:val="18"/>
                <w:szCs w:val="18"/>
              </w:rPr>
              <w:t xml:space="preserve">Užsakovui suteiktų Paslaugų </w:t>
            </w:r>
            <w:r>
              <w:rPr>
                <w:rFonts w:ascii="Segoe UI" w:hAnsi="Segoe UI" w:cs="Segoe UI"/>
                <w:sz w:val="18"/>
                <w:szCs w:val="18"/>
              </w:rPr>
              <w:t xml:space="preserve">tipo Faktinė pelno </w:t>
            </w:r>
            <w:r w:rsidRPr="003D0D84">
              <w:rPr>
                <w:rFonts w:ascii="Segoe UI" w:hAnsi="Segoe UI" w:cs="Segoe UI"/>
                <w:sz w:val="18"/>
                <w:szCs w:val="18"/>
              </w:rPr>
              <w:t>marža (</w:t>
            </w:r>
            <w:r>
              <w:rPr>
                <w:rFonts w:ascii="Segoe UI" w:hAnsi="Segoe UI" w:cs="Segoe UI"/>
                <w:sz w:val="18"/>
                <w:szCs w:val="18"/>
              </w:rPr>
              <w:t>F</w:t>
            </w:r>
            <w:r w:rsidRPr="003D0D84">
              <w:rPr>
                <w:rFonts w:ascii="Segoe UI" w:hAnsi="Segoe UI" w:cs="Segoe UI"/>
                <w:sz w:val="18"/>
                <w:szCs w:val="18"/>
              </w:rPr>
              <w:t>PM) atitinka</w:t>
            </w:r>
            <w:r>
              <w:rPr>
                <w:rFonts w:ascii="Segoe UI" w:hAnsi="Segoe UI" w:cs="Segoe UI"/>
                <w:sz w:val="18"/>
                <w:szCs w:val="18"/>
              </w:rPr>
              <w:t xml:space="preserve"> Norminę pelno maržą (NPM)</w:t>
            </w:r>
            <w:r w:rsidRPr="003D0D84">
              <w:rPr>
                <w:rFonts w:ascii="Segoe UI" w:hAnsi="Segoe UI" w:cs="Segoe UI"/>
                <w:sz w:val="18"/>
                <w:szCs w:val="18"/>
              </w:rPr>
              <w:t>.</w:t>
            </w:r>
            <w:r>
              <w:rPr>
                <w:rFonts w:ascii="Segoe UI" w:hAnsi="Segoe UI" w:cs="Segoe UI"/>
                <w:sz w:val="18"/>
                <w:szCs w:val="18"/>
              </w:rPr>
              <w:t xml:space="preserve"> Vertinimas atliekamas pagal formules:</w:t>
            </w:r>
          </w:p>
          <w:p w14:paraId="22E04CCB" w14:textId="77777777" w:rsidR="006F58FC" w:rsidRDefault="006F58FC" w:rsidP="006F58FC">
            <w:pPr>
              <w:pStyle w:val="ListParagraph"/>
              <w:numPr>
                <w:ilvl w:val="2"/>
                <w:numId w:val="25"/>
              </w:numPr>
              <w:spacing w:after="200"/>
              <w:jc w:val="both"/>
              <w:rPr>
                <w:rFonts w:ascii="Segoe UI" w:hAnsi="Segoe UI" w:cs="Segoe UI"/>
                <w:sz w:val="18"/>
                <w:szCs w:val="18"/>
              </w:rPr>
            </w:pPr>
            <w:r w:rsidRPr="00F97092">
              <w:rPr>
                <w:rFonts w:ascii="Segoe UI" w:hAnsi="Segoe UI" w:cs="Segoe UI"/>
                <w:sz w:val="18"/>
                <w:szCs w:val="18"/>
              </w:rPr>
              <w:t xml:space="preserve">Norminė pelno marža (NPM), % – norminis pelno maržos dydis procentais, apskaičiuojamas tokiu būdu: </w:t>
            </w:r>
          </w:p>
          <w:p w14:paraId="11EEC890" w14:textId="77777777" w:rsidR="006F58FC" w:rsidRDefault="006F58FC" w:rsidP="006F58FC">
            <w:pPr>
              <w:pStyle w:val="ListParagraph"/>
              <w:ind w:left="1080"/>
              <w:jc w:val="both"/>
              <w:rPr>
                <w:rFonts w:ascii="Segoe UI" w:hAnsi="Segoe UI" w:cs="Segoe UI"/>
                <w:sz w:val="18"/>
                <w:szCs w:val="18"/>
              </w:rPr>
            </w:pPr>
            <w:r>
              <w:rPr>
                <w:rFonts w:ascii="Segoe UI" w:hAnsi="Segoe UI" w:cs="Segoe UI"/>
                <w:sz w:val="18"/>
                <w:szCs w:val="18"/>
              </w:rPr>
              <w:t xml:space="preserve">Faktinė savikaina (FS) – per laikotarpį faktiškai patirta Tiesioginių ir Netiesioginių sąnaudų suma, priskirta Paslaugų tipui </w:t>
            </w:r>
            <w:r w:rsidRPr="00F06DAA">
              <w:rPr>
                <w:rFonts w:ascii="Segoe UI" w:hAnsi="Segoe UI" w:cs="Segoe UI"/>
                <w:sz w:val="18"/>
                <w:szCs w:val="18"/>
              </w:rPr>
              <w:t>(neįskaitant perstatomų sąnaudų)</w:t>
            </w:r>
            <w:r>
              <w:rPr>
                <w:rFonts w:ascii="Segoe UI" w:hAnsi="Segoe UI" w:cs="Segoe UI"/>
                <w:sz w:val="18"/>
                <w:szCs w:val="18"/>
              </w:rPr>
              <w:t xml:space="preserve">. </w:t>
            </w:r>
          </w:p>
          <w:p w14:paraId="1090F45D" w14:textId="77777777" w:rsidR="006F58FC" w:rsidRDefault="006F58FC" w:rsidP="006F58FC">
            <w:pPr>
              <w:pStyle w:val="ListParagraph"/>
              <w:ind w:left="1080"/>
              <w:jc w:val="both"/>
              <w:rPr>
                <w:rFonts w:ascii="Segoe UI" w:hAnsi="Segoe UI" w:cs="Segoe UI"/>
                <w:sz w:val="18"/>
                <w:szCs w:val="18"/>
              </w:rPr>
            </w:pPr>
            <w:r>
              <w:rPr>
                <w:rFonts w:ascii="Segoe UI" w:hAnsi="Segoe UI" w:cs="Segoe UI"/>
                <w:sz w:val="18"/>
                <w:szCs w:val="18"/>
              </w:rPr>
              <w:t xml:space="preserve">FS, kuriai taikomas antkainis (FSA) – ta faktinės savikainos dalis (dedamosios), kurioms Antkainis turi būti taikomas. </w:t>
            </w:r>
          </w:p>
          <w:p w14:paraId="23FB422B" w14:textId="77777777" w:rsidR="006F58FC" w:rsidRDefault="006F58FC" w:rsidP="006F58FC">
            <w:pPr>
              <w:pStyle w:val="ListParagraph"/>
              <w:ind w:left="1080"/>
              <w:jc w:val="both"/>
              <w:rPr>
                <w:rFonts w:ascii="Segoe UI" w:hAnsi="Segoe UI" w:cs="Segoe UI"/>
                <w:sz w:val="18"/>
                <w:szCs w:val="18"/>
              </w:rPr>
            </w:pPr>
            <w:r>
              <w:rPr>
                <w:rFonts w:ascii="Segoe UI" w:hAnsi="Segoe UI" w:cs="Segoe UI"/>
                <w:sz w:val="18"/>
                <w:szCs w:val="18"/>
              </w:rPr>
              <w:t xml:space="preserve">FS, kuriai netaikomas antkainis (FSNA) – ta faktinės savikainos dalis (dedamosios), kurioms Antkainis netaikomas. </w:t>
            </w:r>
          </w:p>
          <w:p w14:paraId="79262FCD" w14:textId="77777777" w:rsidR="006F58FC" w:rsidRDefault="006F58FC" w:rsidP="006F58FC">
            <w:pPr>
              <w:pStyle w:val="ListParagraph"/>
              <w:ind w:left="1080"/>
              <w:jc w:val="both"/>
              <w:rPr>
                <w:rFonts w:ascii="Segoe UI" w:hAnsi="Segoe UI" w:cs="Segoe UI"/>
                <w:sz w:val="18"/>
                <w:szCs w:val="18"/>
              </w:rPr>
            </w:pPr>
            <w:r>
              <w:rPr>
                <w:rFonts w:ascii="Segoe UI" w:hAnsi="Segoe UI" w:cs="Segoe UI"/>
                <w:sz w:val="18"/>
                <w:szCs w:val="18"/>
              </w:rPr>
              <w:t xml:space="preserve">Norminė pajamų suma (NPS) </w:t>
            </w:r>
            <w:r>
              <w:rPr>
                <w:rFonts w:ascii="Segoe UI" w:hAnsi="Segoe UI" w:cs="Segoe UI"/>
                <w:sz w:val="18"/>
                <w:szCs w:val="18"/>
                <w:lang w:val="en-US"/>
              </w:rPr>
              <w:t>= FSA * (1 + Antkainis)</w:t>
            </w:r>
            <w:r>
              <w:rPr>
                <w:rFonts w:ascii="Segoe UI" w:hAnsi="Segoe UI" w:cs="Segoe UI"/>
                <w:sz w:val="18"/>
                <w:szCs w:val="18"/>
              </w:rPr>
              <w:t xml:space="preserve"> + FSNA.</w:t>
            </w:r>
          </w:p>
          <w:p w14:paraId="4904D6EA" w14:textId="77777777" w:rsidR="006F58FC" w:rsidRDefault="006F58FC" w:rsidP="006F58FC">
            <w:pPr>
              <w:pStyle w:val="ListParagraph"/>
              <w:ind w:left="1080"/>
              <w:jc w:val="both"/>
              <w:rPr>
                <w:rFonts w:ascii="Segoe UI" w:hAnsi="Segoe UI" w:cs="Segoe UI"/>
                <w:sz w:val="18"/>
                <w:szCs w:val="18"/>
                <w:lang w:val="en-US"/>
              </w:rPr>
            </w:pPr>
            <w:r>
              <w:rPr>
                <w:rFonts w:ascii="Segoe UI" w:hAnsi="Segoe UI" w:cs="Segoe UI"/>
                <w:sz w:val="18"/>
                <w:szCs w:val="18"/>
              </w:rPr>
              <w:t xml:space="preserve">Norminis pelnas (NP) </w:t>
            </w:r>
            <w:r>
              <w:rPr>
                <w:rFonts w:ascii="Segoe UI" w:hAnsi="Segoe UI" w:cs="Segoe UI"/>
                <w:sz w:val="18"/>
                <w:szCs w:val="18"/>
                <w:lang w:val="en-US"/>
              </w:rPr>
              <w:t>= NPS – FS.</w:t>
            </w:r>
          </w:p>
          <w:p w14:paraId="59B5AA32" w14:textId="77777777" w:rsidR="006F58FC" w:rsidRPr="00826087" w:rsidRDefault="006F58FC" w:rsidP="006F58FC">
            <w:pPr>
              <w:pStyle w:val="ListParagraph"/>
              <w:ind w:left="1080"/>
              <w:jc w:val="both"/>
              <w:rPr>
                <w:rFonts w:ascii="Segoe UI" w:hAnsi="Segoe UI" w:cs="Segoe UI"/>
                <w:sz w:val="18"/>
                <w:szCs w:val="18"/>
                <w:lang w:val="en-US"/>
              </w:rPr>
            </w:pPr>
            <w:r>
              <w:rPr>
                <w:rFonts w:ascii="Segoe UI" w:hAnsi="Segoe UI" w:cs="Segoe UI"/>
                <w:sz w:val="18"/>
                <w:szCs w:val="18"/>
                <w:lang w:val="en-US"/>
              </w:rPr>
              <w:t>Norminė pelno marža = NP / NPS.</w:t>
            </w:r>
          </w:p>
          <w:p w14:paraId="294F1C2D" w14:textId="77777777" w:rsidR="006F58FC" w:rsidRDefault="006F58FC" w:rsidP="006F58FC">
            <w:pPr>
              <w:pStyle w:val="ListParagraph"/>
              <w:numPr>
                <w:ilvl w:val="2"/>
                <w:numId w:val="25"/>
              </w:numPr>
              <w:spacing w:after="200"/>
              <w:jc w:val="both"/>
              <w:rPr>
                <w:rFonts w:ascii="Segoe UI" w:hAnsi="Segoe UI" w:cs="Segoe UI"/>
                <w:sz w:val="18"/>
                <w:szCs w:val="18"/>
              </w:rPr>
            </w:pPr>
            <w:r>
              <w:rPr>
                <w:rFonts w:ascii="Segoe UI" w:hAnsi="Segoe UI" w:cs="Segoe UI"/>
                <w:sz w:val="18"/>
                <w:szCs w:val="18"/>
              </w:rPr>
              <w:t>Faktinė pelno marža (FPM), % - faktinis pelno maržos dydis procentais, apskaičiuojamas tokiu būdu:</w:t>
            </w:r>
          </w:p>
          <w:p w14:paraId="5AF8C649" w14:textId="77777777" w:rsidR="006F58FC" w:rsidRDefault="006F58FC" w:rsidP="006F58FC">
            <w:pPr>
              <w:pStyle w:val="ListParagraph"/>
              <w:ind w:left="1080"/>
              <w:jc w:val="both"/>
              <w:rPr>
                <w:rFonts w:ascii="Segoe UI" w:hAnsi="Segoe UI" w:cs="Segoe UI"/>
                <w:sz w:val="18"/>
                <w:szCs w:val="18"/>
              </w:rPr>
            </w:pPr>
            <w:r>
              <w:rPr>
                <w:rFonts w:ascii="Segoe UI" w:hAnsi="Segoe UI" w:cs="Segoe UI"/>
                <w:sz w:val="18"/>
                <w:szCs w:val="18"/>
              </w:rPr>
              <w:t>Faktinė pajamų suma (FPS) – faktiškai suteiktų paslaugų per atitinkamą laikotarpį suma (tai yra, suma, kuriai Paslaugų teikėjas pateikė Užsakovui sąskaitas faktūras už suteiktas konkretaus Paslaugų tipo paslaugas</w:t>
            </w:r>
            <w:r w:rsidRPr="00F06DAA">
              <w:rPr>
                <w:rFonts w:ascii="Segoe UI" w:hAnsi="Segoe UI" w:cs="Segoe UI"/>
                <w:sz w:val="18"/>
                <w:szCs w:val="18"/>
              </w:rPr>
              <w:t>, neįskaitant pajamų, gautų kaip kompensacijos už perstatomas sąnaudas</w:t>
            </w:r>
            <w:r>
              <w:rPr>
                <w:rFonts w:ascii="Segoe UI" w:hAnsi="Segoe UI" w:cs="Segoe UI"/>
                <w:sz w:val="18"/>
                <w:szCs w:val="18"/>
              </w:rPr>
              <w:t>).</w:t>
            </w:r>
          </w:p>
          <w:p w14:paraId="14DBB37E" w14:textId="77777777" w:rsidR="006F58FC" w:rsidRDefault="006F58FC" w:rsidP="006F58FC">
            <w:pPr>
              <w:pStyle w:val="ListParagraph"/>
              <w:ind w:left="1080"/>
              <w:jc w:val="both"/>
              <w:rPr>
                <w:rFonts w:ascii="Segoe UI" w:hAnsi="Segoe UI" w:cs="Segoe UI"/>
                <w:sz w:val="18"/>
                <w:szCs w:val="18"/>
              </w:rPr>
            </w:pPr>
            <w:r>
              <w:rPr>
                <w:rFonts w:ascii="Segoe UI" w:hAnsi="Segoe UI" w:cs="Segoe UI"/>
                <w:sz w:val="18"/>
                <w:szCs w:val="18"/>
              </w:rPr>
              <w:t xml:space="preserve">Faktinė savikaina (FS) – per laikotarpį faktiškai patirta Tiesioginių ir Netiesioginių sąnaudų suma, priskirta Paslaugų tipui, </w:t>
            </w:r>
            <w:r w:rsidRPr="00F06DAA">
              <w:rPr>
                <w:rFonts w:ascii="Segoe UI" w:hAnsi="Segoe UI" w:cs="Segoe UI"/>
                <w:sz w:val="18"/>
                <w:szCs w:val="18"/>
              </w:rPr>
              <w:t>neįskaitant perstatomų sąnaudų</w:t>
            </w:r>
            <w:r>
              <w:rPr>
                <w:rFonts w:ascii="Segoe UI" w:hAnsi="Segoe UI" w:cs="Segoe UI"/>
                <w:sz w:val="18"/>
                <w:szCs w:val="18"/>
              </w:rPr>
              <w:t>.</w:t>
            </w:r>
          </w:p>
          <w:p w14:paraId="4B819B80" w14:textId="77777777" w:rsidR="006F58FC" w:rsidRDefault="006F58FC" w:rsidP="006F58FC">
            <w:pPr>
              <w:pStyle w:val="ListParagraph"/>
              <w:ind w:left="1080"/>
              <w:jc w:val="both"/>
              <w:rPr>
                <w:rFonts w:ascii="Segoe UI" w:hAnsi="Segoe UI" w:cs="Segoe UI"/>
                <w:sz w:val="18"/>
                <w:szCs w:val="18"/>
                <w:lang w:val="en-US"/>
              </w:rPr>
            </w:pPr>
            <w:r>
              <w:rPr>
                <w:rFonts w:ascii="Segoe UI" w:hAnsi="Segoe UI" w:cs="Segoe UI"/>
                <w:sz w:val="18"/>
                <w:szCs w:val="18"/>
              </w:rPr>
              <w:t xml:space="preserve">Faktinis pelnas (FP) </w:t>
            </w:r>
            <w:r>
              <w:rPr>
                <w:rFonts w:ascii="Segoe UI" w:hAnsi="Segoe UI" w:cs="Segoe UI"/>
                <w:sz w:val="18"/>
                <w:szCs w:val="18"/>
                <w:lang w:val="en-US"/>
              </w:rPr>
              <w:t>= FPS – FS.</w:t>
            </w:r>
          </w:p>
          <w:p w14:paraId="46375637" w14:textId="77777777" w:rsidR="006F58FC" w:rsidRPr="00826087" w:rsidRDefault="006F58FC" w:rsidP="006F58FC">
            <w:pPr>
              <w:pStyle w:val="ListParagraph"/>
              <w:ind w:left="1080"/>
              <w:jc w:val="both"/>
              <w:rPr>
                <w:rFonts w:ascii="Segoe UI" w:hAnsi="Segoe UI" w:cs="Segoe UI"/>
                <w:sz w:val="18"/>
                <w:szCs w:val="18"/>
                <w:lang w:val="en-US"/>
              </w:rPr>
            </w:pPr>
            <w:r>
              <w:rPr>
                <w:rFonts w:ascii="Segoe UI" w:hAnsi="Segoe UI" w:cs="Segoe UI"/>
                <w:sz w:val="18"/>
                <w:szCs w:val="18"/>
                <w:lang w:val="en-US"/>
              </w:rPr>
              <w:t>Faktin</w:t>
            </w:r>
            <w:r>
              <w:rPr>
                <w:rFonts w:ascii="Segoe UI" w:hAnsi="Segoe UI" w:cs="Segoe UI"/>
                <w:sz w:val="18"/>
                <w:szCs w:val="18"/>
              </w:rPr>
              <w:t xml:space="preserve">ė pelno marža (FPM) </w:t>
            </w:r>
            <w:r>
              <w:rPr>
                <w:rFonts w:ascii="Segoe UI" w:hAnsi="Segoe UI" w:cs="Segoe UI"/>
                <w:sz w:val="18"/>
                <w:szCs w:val="18"/>
                <w:lang w:val="en-US"/>
              </w:rPr>
              <w:t>= FP / FPS.</w:t>
            </w:r>
          </w:p>
          <w:p w14:paraId="53F35837" w14:textId="77777777" w:rsidR="006F58FC" w:rsidRDefault="006F58FC" w:rsidP="006F58FC">
            <w:pPr>
              <w:pStyle w:val="ListParagraph"/>
              <w:numPr>
                <w:ilvl w:val="2"/>
                <w:numId w:val="25"/>
              </w:numPr>
              <w:spacing w:after="200"/>
              <w:jc w:val="both"/>
              <w:rPr>
                <w:rFonts w:ascii="Segoe UI" w:hAnsi="Segoe UI" w:cs="Segoe UI"/>
                <w:sz w:val="18"/>
                <w:szCs w:val="18"/>
              </w:rPr>
            </w:pPr>
            <w:r>
              <w:rPr>
                <w:rFonts w:ascii="Segoe UI" w:hAnsi="Segoe UI" w:cs="Segoe UI"/>
                <w:sz w:val="18"/>
                <w:szCs w:val="18"/>
              </w:rPr>
              <w:t>Jeigu FPM &gt; NPM, Užsakovui grąžinamas skirtumas tarp apskaičiuotų FPS ir NPS pateikiant kreditinę sąskaitą faktūrą.</w:t>
            </w:r>
          </w:p>
          <w:p w14:paraId="398C26D3" w14:textId="77777777" w:rsidR="006F58FC" w:rsidRDefault="006F58FC" w:rsidP="006F58FC">
            <w:pPr>
              <w:pStyle w:val="ListParagraph"/>
              <w:numPr>
                <w:ilvl w:val="2"/>
                <w:numId w:val="25"/>
              </w:numPr>
              <w:spacing w:after="200"/>
              <w:jc w:val="both"/>
              <w:rPr>
                <w:rFonts w:ascii="Segoe UI" w:hAnsi="Segoe UI" w:cs="Segoe UI"/>
                <w:sz w:val="18"/>
                <w:szCs w:val="18"/>
              </w:rPr>
            </w:pPr>
            <w:r>
              <w:rPr>
                <w:rFonts w:ascii="Segoe UI" w:hAnsi="Segoe UI" w:cs="Segoe UI"/>
                <w:sz w:val="18"/>
                <w:szCs w:val="18"/>
              </w:rPr>
              <w:t xml:space="preserve">Jeigu FPM &lt; NPM, Paslaugų teikėjas skirtumo tarp apskaičiuotų FPS ir NPS sumai pateikia Užsakovui papildomą sąskaitą faktūrą, kurią Užsakovas apmoka per Sutartyje nustatytą apmokėjimo terminą. </w:t>
            </w:r>
          </w:p>
          <w:p w14:paraId="50BA3542" w14:textId="77777777" w:rsidR="006F58FC" w:rsidRDefault="006F58FC" w:rsidP="006F58FC">
            <w:pPr>
              <w:pStyle w:val="ListParagraph"/>
              <w:numPr>
                <w:ilvl w:val="2"/>
                <w:numId w:val="25"/>
              </w:numPr>
              <w:spacing w:after="200"/>
              <w:jc w:val="both"/>
              <w:rPr>
                <w:rFonts w:ascii="Segoe UI" w:hAnsi="Segoe UI" w:cs="Segoe UI"/>
                <w:sz w:val="18"/>
                <w:szCs w:val="18"/>
              </w:rPr>
            </w:pPr>
            <w:r w:rsidRPr="495AAB0A">
              <w:rPr>
                <w:rFonts w:ascii="Segoe UI" w:hAnsi="Segoe UI" w:cs="Segoe UI"/>
                <w:sz w:val="18"/>
                <w:szCs w:val="18"/>
              </w:rPr>
              <w:t>Jeigu mėnesio sąskaitos faktūros buvo teikiamos pagal sutartinius kiekius, į tikslinančią (perskaičiavimo) sąskaitą faktūrą yra įtraukiama ir suma dėl kiekių patikslinimo.</w:t>
            </w:r>
          </w:p>
          <w:p w14:paraId="1299FF31" w14:textId="77777777" w:rsidR="006F58FC" w:rsidRDefault="006F58FC" w:rsidP="006F58FC">
            <w:pPr>
              <w:pStyle w:val="ListParagraph"/>
              <w:ind w:left="1080"/>
              <w:jc w:val="both"/>
              <w:rPr>
                <w:rFonts w:ascii="Segoe UI" w:hAnsi="Segoe UI" w:cs="Segoe UI"/>
                <w:sz w:val="18"/>
                <w:szCs w:val="18"/>
              </w:rPr>
            </w:pPr>
          </w:p>
          <w:p w14:paraId="38DFC8F4" w14:textId="77777777" w:rsidR="006F58FC" w:rsidRDefault="006F58FC" w:rsidP="006F58FC">
            <w:pPr>
              <w:jc w:val="both"/>
            </w:pPr>
          </w:p>
          <w:p w14:paraId="7C2CFD6C" w14:textId="77777777" w:rsidR="006F58FC" w:rsidRPr="00A41CA7" w:rsidRDefault="006F58FC" w:rsidP="006F58FC">
            <w:pPr>
              <w:numPr>
                <w:ilvl w:val="0"/>
                <w:numId w:val="25"/>
              </w:numPr>
              <w:spacing w:after="200" w:line="276" w:lineRule="auto"/>
              <w:ind w:left="426" w:hanging="426"/>
              <w:contextualSpacing/>
              <w:jc w:val="both"/>
              <w:rPr>
                <w:rFonts w:ascii="Segoe UI" w:eastAsia="SimSun" w:hAnsi="Segoe UI" w:cs="Segoe UI"/>
                <w:b/>
                <w:bCs/>
                <w:sz w:val="18"/>
                <w:szCs w:val="18"/>
              </w:rPr>
            </w:pPr>
            <w:r w:rsidRPr="00A41CA7">
              <w:rPr>
                <w:rFonts w:ascii="Segoe UI" w:eastAsia="SimSun" w:hAnsi="Segoe UI" w:cs="Segoe UI"/>
                <w:b/>
                <w:bCs/>
                <w:sz w:val="18"/>
                <w:szCs w:val="18"/>
              </w:rPr>
              <w:t>Paslaugų įkainių peržiūros sąlygos ir tvarka</w:t>
            </w:r>
          </w:p>
          <w:p w14:paraId="65030EB2" w14:textId="77777777" w:rsidR="006F58FC" w:rsidRPr="00A41CA7" w:rsidRDefault="006F58FC" w:rsidP="006F58FC">
            <w:pPr>
              <w:spacing w:after="200"/>
              <w:ind w:left="426"/>
              <w:contextualSpacing/>
              <w:jc w:val="both"/>
              <w:rPr>
                <w:rFonts w:ascii="Segoe UI" w:eastAsia="SimSun" w:hAnsi="Segoe UI" w:cs="Segoe UI"/>
                <w:sz w:val="18"/>
                <w:szCs w:val="18"/>
              </w:rPr>
            </w:pPr>
          </w:p>
          <w:p w14:paraId="4157A33F" w14:textId="77777777" w:rsidR="006F58FC" w:rsidRDefault="006F58FC" w:rsidP="006F58FC">
            <w:pPr>
              <w:numPr>
                <w:ilvl w:val="1"/>
                <w:numId w:val="25"/>
              </w:numPr>
              <w:spacing w:after="200" w:line="276" w:lineRule="auto"/>
              <w:ind w:left="426" w:hanging="426"/>
              <w:contextualSpacing/>
              <w:jc w:val="both"/>
              <w:rPr>
                <w:rFonts w:ascii="Segoe UI" w:eastAsia="Segoe UI" w:hAnsi="Segoe UI" w:cs="Segoe UI"/>
                <w:color w:val="000000" w:themeColor="text1"/>
              </w:rPr>
            </w:pPr>
            <w:r w:rsidRPr="5D2955F3">
              <w:rPr>
                <w:rFonts w:ascii="Segoe UI" w:eastAsia="Segoe UI" w:hAnsi="Segoe UI" w:cs="Segoe UI"/>
                <w:color w:val="000000" w:themeColor="text1"/>
                <w:sz w:val="18"/>
                <w:szCs w:val="18"/>
              </w:rPr>
              <w:t>Pirmoji Paslaugų įkainių peržiūra vykdoma ne anksčiau kaip po 12 (dvylikos) mėnesių nuo Sutarties įsigaliojimo.</w:t>
            </w:r>
          </w:p>
          <w:p w14:paraId="5A1E86E5" w14:textId="77777777" w:rsidR="006F58FC" w:rsidRDefault="006F58FC" w:rsidP="006F58FC">
            <w:pPr>
              <w:pStyle w:val="ListParagraph"/>
              <w:numPr>
                <w:ilvl w:val="1"/>
                <w:numId w:val="25"/>
              </w:numPr>
              <w:spacing w:after="200" w:line="276" w:lineRule="auto"/>
              <w:ind w:left="426" w:hanging="426"/>
              <w:jc w:val="both"/>
              <w:rPr>
                <w:rFonts w:ascii="Segoe UI" w:eastAsia="Segoe UI" w:hAnsi="Segoe UI" w:cs="Segoe UI"/>
                <w:color w:val="000000" w:themeColor="text1"/>
              </w:rPr>
            </w:pPr>
            <w:r w:rsidRPr="5D2955F3">
              <w:rPr>
                <w:rFonts w:ascii="Segoe UI" w:eastAsia="Segoe UI" w:hAnsi="Segoe UI" w:cs="Segoe UI"/>
                <w:color w:val="000000" w:themeColor="text1"/>
                <w:sz w:val="18"/>
                <w:szCs w:val="18"/>
              </w:rPr>
              <w:t>Paslaugų įkainiai galiojimo laikotarpiu galės būti peržiūrimi ir keičiami ne dažniau kaip vieną kartą per 12 (dvylikos) mėnesių laikotarpį.</w:t>
            </w:r>
          </w:p>
          <w:p w14:paraId="6029E551" w14:textId="77777777" w:rsidR="006F58FC" w:rsidRDefault="006F58FC" w:rsidP="006F58FC">
            <w:pPr>
              <w:pStyle w:val="ListParagraph"/>
              <w:numPr>
                <w:ilvl w:val="1"/>
                <w:numId w:val="25"/>
              </w:numPr>
              <w:spacing w:after="200" w:line="276" w:lineRule="auto"/>
              <w:ind w:left="426" w:hanging="426"/>
              <w:jc w:val="both"/>
              <w:rPr>
                <w:rFonts w:ascii="Segoe UI" w:eastAsia="Segoe UI" w:hAnsi="Segoe UI" w:cs="Segoe UI"/>
                <w:color w:val="000000" w:themeColor="text1"/>
              </w:rPr>
            </w:pPr>
            <w:r w:rsidRPr="5D2955F3">
              <w:rPr>
                <w:rFonts w:ascii="Segoe UI" w:eastAsia="Segoe UI" w:hAnsi="Segoe UI" w:cs="Segoe UI"/>
                <w:color w:val="000000" w:themeColor="text1"/>
                <w:sz w:val="18"/>
                <w:szCs w:val="18"/>
              </w:rPr>
              <w:t>Peržiūra atliekama nustatytu periodiškumu, praėjus 12 (dvylikai) mėnesių nuo Sutarties įsigaliojimo (peržiūra atliekama bet kurią 12 (dvylikto) mėnesio dieną) arba praėjus 12 (dvylikai) mėnesių (peržiūra atliekama bet kurią 12 (dvylikto) mėnesio dieną)  nuo paskutinės peržiūros dienos, esant toliau nustatytoms aplinkybėms:</w:t>
            </w:r>
          </w:p>
          <w:p w14:paraId="424F445E" w14:textId="77777777" w:rsidR="006F58FC" w:rsidRDefault="006F58FC" w:rsidP="006F58FC">
            <w:pPr>
              <w:spacing w:after="200"/>
              <w:ind w:left="426"/>
              <w:contextualSpacing/>
              <w:jc w:val="both"/>
              <w:rPr>
                <w:rFonts w:ascii="Segoe UI" w:eastAsia="Segoe UI" w:hAnsi="Segoe UI" w:cs="Segoe UI"/>
                <w:color w:val="000000" w:themeColor="text1"/>
              </w:rPr>
            </w:pPr>
            <w:r w:rsidRPr="5D2955F3">
              <w:rPr>
                <w:rFonts w:ascii="Segoe UI" w:eastAsia="Segoe UI" w:hAnsi="Segoe UI" w:cs="Segoe UI"/>
                <w:color w:val="000000" w:themeColor="text1"/>
                <w:sz w:val="18"/>
                <w:szCs w:val="18"/>
              </w:rPr>
              <w:lastRenderedPageBreak/>
              <w:t xml:space="preserve">4.3.1.  jeigu pagal Lietuvos Respublikos statistikos departamento duomenis Lietuvos Respublikos Metinė infliacija pasiekia 5 ar daugiau procentų arba Metinė defliacija pasiekia -5 ar mažiau procentų ribą (duomenų šaltinis - </w:t>
            </w:r>
            <w:hyperlink r:id="rId13">
              <w:r w:rsidRPr="5D2955F3">
                <w:rPr>
                  <w:rStyle w:val="Hyperlink"/>
                  <w:rFonts w:ascii="Segoe UI" w:eastAsia="Segoe UI" w:hAnsi="Segoe UI" w:cs="Segoe UI"/>
                  <w:color w:val="000000" w:themeColor="text1"/>
                  <w:sz w:val="18"/>
                  <w:szCs w:val="18"/>
                </w:rPr>
                <w:t>http://www.stat.gov.lt</w:t>
              </w:r>
            </w:hyperlink>
            <w:r w:rsidRPr="5D2955F3">
              <w:rPr>
                <w:rFonts w:ascii="Segoe UI" w:eastAsia="Segoe UI" w:hAnsi="Segoe UI" w:cs="Segoe UI"/>
                <w:color w:val="000000" w:themeColor="text1"/>
                <w:sz w:val="18"/>
                <w:szCs w:val="18"/>
              </w:rPr>
              <w:t>);</w:t>
            </w:r>
          </w:p>
          <w:p w14:paraId="75FEB239" w14:textId="77777777" w:rsidR="006F58FC" w:rsidRDefault="006F58FC" w:rsidP="006F58FC">
            <w:pPr>
              <w:spacing w:after="200"/>
              <w:ind w:left="426"/>
              <w:contextualSpacing/>
              <w:jc w:val="both"/>
              <w:rPr>
                <w:rFonts w:ascii="Segoe UI" w:eastAsia="Segoe UI" w:hAnsi="Segoe UI" w:cs="Segoe UI"/>
                <w:color w:val="000000" w:themeColor="text1"/>
              </w:rPr>
            </w:pPr>
            <w:r w:rsidRPr="5D2955F3">
              <w:rPr>
                <w:rFonts w:ascii="Segoe UI" w:eastAsia="Segoe UI" w:hAnsi="Segoe UI" w:cs="Segoe UI"/>
                <w:color w:val="000000" w:themeColor="text1"/>
                <w:sz w:val="18"/>
                <w:szCs w:val="18"/>
              </w:rPr>
              <w:t>4.3.2. Paslaugų įkainių peržiūrą inicijuojanti Šalis turi informuoti kitą Šalį raštu apie pageidavimą peržiūrėti Paslaugų įkainius</w:t>
            </w:r>
          </w:p>
          <w:p w14:paraId="47081A03" w14:textId="77777777" w:rsidR="006F58FC" w:rsidRDefault="006F58FC" w:rsidP="006F58FC">
            <w:pPr>
              <w:pStyle w:val="ListParagraph"/>
              <w:numPr>
                <w:ilvl w:val="1"/>
                <w:numId w:val="25"/>
              </w:numPr>
              <w:spacing w:after="200" w:line="276" w:lineRule="auto"/>
              <w:ind w:left="426" w:hanging="426"/>
              <w:jc w:val="both"/>
              <w:rPr>
                <w:rFonts w:ascii="Segoe UI" w:eastAsia="Segoe UI" w:hAnsi="Segoe UI" w:cs="Segoe UI"/>
                <w:color w:val="000000" w:themeColor="text1"/>
              </w:rPr>
            </w:pPr>
            <w:r w:rsidRPr="5D2955F3">
              <w:rPr>
                <w:rFonts w:ascii="Segoe UI" w:eastAsia="Segoe UI" w:hAnsi="Segoe UI" w:cs="Segoe UI"/>
                <w:color w:val="000000" w:themeColor="text1"/>
                <w:sz w:val="18"/>
                <w:szCs w:val="18"/>
              </w:rPr>
              <w:t xml:space="preserve"> Paslaugų įkainiai peržiūrimi pagal žemiau pateiktą formulę:</w:t>
            </w:r>
          </w:p>
          <w:p w14:paraId="1CDAAEBF" w14:textId="77777777" w:rsidR="006F58FC" w:rsidRDefault="006F58FC" w:rsidP="006F58FC">
            <w:pPr>
              <w:spacing w:after="200"/>
              <w:ind w:left="426"/>
              <w:contextualSpacing/>
              <w:jc w:val="both"/>
              <w:rPr>
                <w:rFonts w:ascii="Segoe UI" w:eastAsia="Segoe UI" w:hAnsi="Segoe UI" w:cs="Segoe UI"/>
                <w:color w:val="000000" w:themeColor="text1"/>
                <w:sz w:val="18"/>
                <w:szCs w:val="18"/>
              </w:rPr>
            </w:pPr>
            <w:r>
              <w:rPr>
                <w:noProof/>
              </w:rPr>
              <w:drawing>
                <wp:inline distT="0" distB="0" distL="0" distR="0" wp14:anchorId="41974AFF" wp14:editId="6425031C">
                  <wp:extent cx="1771650" cy="247650"/>
                  <wp:effectExtent l="0" t="0" r="0" b="0"/>
                  <wp:docPr id="1753583179" name="Picture 1753583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1771650" cy="247650"/>
                          </a:xfrm>
                          <a:prstGeom prst="rect">
                            <a:avLst/>
                          </a:prstGeom>
                        </pic:spPr>
                      </pic:pic>
                    </a:graphicData>
                  </a:graphic>
                </wp:inline>
              </w:drawing>
            </w:r>
            <w:r w:rsidRPr="00A875C8">
              <w:rPr>
                <w:rFonts w:ascii="Calibri" w:eastAsia="Calibri" w:hAnsi="Calibri" w:cs="Calibri"/>
                <w:color w:val="000000" w:themeColor="text1"/>
              </w:rPr>
              <w:t>[Text Wrapping Break]</w:t>
            </w:r>
            <w:r w:rsidRPr="00A875C8">
              <w:rPr>
                <w:rFonts w:ascii="Segoe UI" w:eastAsia="Segoe UI" w:hAnsi="Segoe UI" w:cs="Segoe UI"/>
                <w:color w:val="000000" w:themeColor="text1"/>
                <w:sz w:val="18"/>
                <w:szCs w:val="18"/>
              </w:rPr>
              <w:t>Cpn – peržiūrėtas Paslaugai (oms)/Prekei (ėms) taikomas įkainis</w:t>
            </w:r>
          </w:p>
          <w:p w14:paraId="0C6E9E12" w14:textId="77777777" w:rsidR="006F58FC" w:rsidRPr="00A875C8" w:rsidRDefault="006F58FC" w:rsidP="006F58FC">
            <w:pPr>
              <w:spacing w:after="200"/>
              <w:ind w:left="426"/>
              <w:contextualSpacing/>
              <w:jc w:val="both"/>
              <w:rPr>
                <w:rFonts w:ascii="Segoe UI" w:eastAsia="Segoe UI" w:hAnsi="Segoe UI" w:cs="Segoe UI"/>
                <w:color w:val="000000" w:themeColor="text1"/>
              </w:rPr>
            </w:pPr>
          </w:p>
          <w:p w14:paraId="0AB2D35D" w14:textId="77777777" w:rsidR="006F58FC" w:rsidRPr="00A875C8" w:rsidRDefault="006F58FC" w:rsidP="006F58FC">
            <w:pPr>
              <w:spacing w:after="200"/>
              <w:ind w:left="426"/>
              <w:contextualSpacing/>
              <w:jc w:val="both"/>
              <w:rPr>
                <w:rFonts w:ascii="Segoe UI" w:eastAsia="Segoe UI" w:hAnsi="Segoe UI" w:cs="Segoe UI"/>
                <w:color w:val="000000" w:themeColor="text1"/>
              </w:rPr>
            </w:pPr>
            <w:r w:rsidRPr="00A875C8">
              <w:rPr>
                <w:rFonts w:ascii="Segoe UI" w:eastAsia="Segoe UI" w:hAnsi="Segoe UI" w:cs="Segoe UI"/>
                <w:color w:val="000000" w:themeColor="text1"/>
                <w:sz w:val="18"/>
                <w:szCs w:val="18"/>
              </w:rPr>
              <w:t>Sn – Sutartyje numatytas Paslaugos (ų)/Prekės (ių) įkainis</w:t>
            </w:r>
          </w:p>
          <w:p w14:paraId="09633A74" w14:textId="77777777" w:rsidR="006F58FC" w:rsidRPr="00A875C8" w:rsidRDefault="006F58FC" w:rsidP="006F58FC">
            <w:pPr>
              <w:spacing w:after="200"/>
              <w:ind w:left="426"/>
              <w:contextualSpacing/>
              <w:jc w:val="both"/>
              <w:rPr>
                <w:rFonts w:ascii="Segoe UI" w:eastAsia="Segoe UI" w:hAnsi="Segoe UI" w:cs="Segoe UI"/>
                <w:color w:val="000000" w:themeColor="text1"/>
              </w:rPr>
            </w:pPr>
          </w:p>
          <w:p w14:paraId="3EC6394D" w14:textId="77777777" w:rsidR="006F58FC" w:rsidRPr="00A875C8" w:rsidRDefault="006F58FC" w:rsidP="006F58FC">
            <w:pPr>
              <w:spacing w:after="200"/>
              <w:ind w:left="426"/>
              <w:contextualSpacing/>
              <w:jc w:val="both"/>
              <w:rPr>
                <w:rFonts w:ascii="Segoe UI" w:eastAsia="Segoe UI" w:hAnsi="Segoe UI" w:cs="Segoe UI"/>
                <w:color w:val="000000" w:themeColor="text1"/>
              </w:rPr>
            </w:pPr>
            <w:r w:rsidRPr="00A875C8">
              <w:rPr>
                <w:rFonts w:ascii="Segoe UI" w:eastAsia="Segoe UI" w:hAnsi="Segoe UI" w:cs="Segoe UI"/>
                <w:color w:val="000000" w:themeColor="text1"/>
                <w:sz w:val="18"/>
                <w:szCs w:val="18"/>
              </w:rPr>
              <w:t>I – infliacijos arba defliacijos (defliacijos atveju procentas įrašomas su minuso ženklu) dydis procentais;</w:t>
            </w:r>
          </w:p>
          <w:p w14:paraId="55910B8C" w14:textId="77777777" w:rsidR="006F58FC" w:rsidRPr="00A875C8" w:rsidRDefault="006F58FC" w:rsidP="006F58FC">
            <w:pPr>
              <w:spacing w:after="200"/>
              <w:ind w:left="426"/>
              <w:contextualSpacing/>
              <w:jc w:val="both"/>
              <w:rPr>
                <w:rFonts w:ascii="Segoe UI" w:eastAsia="Segoe UI" w:hAnsi="Segoe UI" w:cs="Segoe UI"/>
                <w:color w:val="000000" w:themeColor="text1"/>
              </w:rPr>
            </w:pPr>
          </w:p>
          <w:p w14:paraId="3874EC20" w14:textId="77777777" w:rsidR="006F58FC" w:rsidRPr="00A875C8" w:rsidRDefault="006F58FC" w:rsidP="006F58FC">
            <w:pPr>
              <w:spacing w:after="200"/>
              <w:ind w:left="426"/>
              <w:contextualSpacing/>
              <w:jc w:val="both"/>
              <w:rPr>
                <w:rFonts w:ascii="Segoe UI" w:eastAsia="Segoe UI" w:hAnsi="Segoe UI" w:cs="Segoe UI"/>
                <w:color w:val="000000" w:themeColor="text1"/>
              </w:rPr>
            </w:pPr>
            <w:r>
              <w:rPr>
                <w:noProof/>
              </w:rPr>
              <w:drawing>
                <wp:inline distT="0" distB="0" distL="0" distR="0" wp14:anchorId="7AF52747" wp14:editId="29F0D464">
                  <wp:extent cx="190500" cy="152400"/>
                  <wp:effectExtent l="0" t="0" r="0" b="0"/>
                  <wp:docPr id="1744840052" name="Picture 1744840052" descr="image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190500" cy="152400"/>
                          </a:xfrm>
                          <a:prstGeom prst="rect">
                            <a:avLst/>
                          </a:prstGeom>
                        </pic:spPr>
                      </pic:pic>
                    </a:graphicData>
                  </a:graphic>
                </wp:inline>
              </w:drawing>
            </w:r>
            <w:r w:rsidRPr="00A875C8">
              <w:rPr>
                <w:rFonts w:ascii="Segoe UI" w:eastAsia="Segoe UI" w:hAnsi="Segoe UI" w:cs="Segoe UI"/>
                <w:color w:val="000000" w:themeColor="text1"/>
                <w:sz w:val="18"/>
                <w:szCs w:val="18"/>
              </w:rPr>
              <w:t>- defliacijos atveju (-5), infliacijos atveju 5.</w:t>
            </w:r>
          </w:p>
          <w:p w14:paraId="78936189" w14:textId="77777777" w:rsidR="006F58FC" w:rsidRDefault="006F58FC" w:rsidP="006F58FC">
            <w:pPr>
              <w:pStyle w:val="ListParagraph"/>
              <w:spacing w:after="200"/>
              <w:ind w:left="1440"/>
              <w:jc w:val="both"/>
              <w:rPr>
                <w:rFonts w:ascii="Segoe UI" w:eastAsia="Segoe UI" w:hAnsi="Segoe UI" w:cs="Segoe UI"/>
                <w:color w:val="000000" w:themeColor="text1"/>
              </w:rPr>
            </w:pPr>
          </w:p>
          <w:p w14:paraId="4911C3C6" w14:textId="77777777" w:rsidR="006F58FC" w:rsidRDefault="006F58FC" w:rsidP="006F58FC">
            <w:pPr>
              <w:pStyle w:val="ListParagraph"/>
              <w:numPr>
                <w:ilvl w:val="1"/>
                <w:numId w:val="25"/>
              </w:numPr>
              <w:spacing w:after="200" w:line="276" w:lineRule="auto"/>
              <w:ind w:left="426" w:hanging="426"/>
              <w:jc w:val="both"/>
              <w:rPr>
                <w:rFonts w:ascii="Segoe UI" w:eastAsia="Segoe UI" w:hAnsi="Segoe UI" w:cs="Segoe UI"/>
                <w:color w:val="000000" w:themeColor="text1"/>
              </w:rPr>
            </w:pPr>
            <w:r w:rsidRPr="5D2955F3">
              <w:rPr>
                <w:rFonts w:ascii="Segoe UI" w:eastAsia="Segoe UI" w:hAnsi="Segoe UI" w:cs="Segoe UI"/>
                <w:color w:val="000000" w:themeColor="text1"/>
                <w:sz w:val="18"/>
                <w:szCs w:val="18"/>
              </w:rPr>
              <w:t>Peržiūrėti Paslaugų įkainiai įsigalioja nuo abiejų Šalių susitarimo dėl Sutarties pakeitimo pasirašymo dienos, jei pačiame susitarime nenumatyta kitaip.</w:t>
            </w:r>
          </w:p>
          <w:p w14:paraId="028C28BB" w14:textId="41175374" w:rsidR="00D45309" w:rsidRPr="006F58FC" w:rsidRDefault="006F58FC" w:rsidP="00A47C19">
            <w:pPr>
              <w:pStyle w:val="ListParagraph"/>
              <w:numPr>
                <w:ilvl w:val="1"/>
                <w:numId w:val="25"/>
              </w:numPr>
              <w:spacing w:after="200" w:line="276" w:lineRule="auto"/>
              <w:ind w:left="426" w:hanging="426"/>
              <w:jc w:val="both"/>
              <w:rPr>
                <w:rFonts w:ascii="Segoe UI" w:eastAsia="Segoe UI" w:hAnsi="Segoe UI" w:cs="Segoe UI"/>
                <w:color w:val="000000" w:themeColor="text1"/>
              </w:rPr>
            </w:pPr>
            <w:r w:rsidRPr="5D2955F3">
              <w:rPr>
                <w:rFonts w:ascii="Segoe UI" w:eastAsia="Segoe UI" w:hAnsi="Segoe UI" w:cs="Segoe UI"/>
                <w:color w:val="000000" w:themeColor="text1"/>
                <w:sz w:val="18"/>
                <w:szCs w:val="18"/>
              </w:rPr>
              <w:t xml:space="preserve">Už Paslaugas/Prekes, užsakytas iki susitarimo dėl Paslaugų įkainių peržiūrėjimo pasirašymo dienos, </w:t>
            </w:r>
            <w:r w:rsidRPr="5D2955F3">
              <w:rPr>
                <w:rFonts w:ascii="Calibri" w:eastAsia="Calibri" w:hAnsi="Calibri" w:cs="Calibri"/>
                <w:color w:val="000000" w:themeColor="text1"/>
                <w:sz w:val="18"/>
                <w:szCs w:val="18"/>
              </w:rPr>
              <w:t xml:space="preserve"> </w:t>
            </w:r>
            <w:r w:rsidRPr="5D2955F3">
              <w:rPr>
                <w:rFonts w:ascii="Segoe UI" w:eastAsia="Segoe UI" w:hAnsi="Segoe UI" w:cs="Segoe UI"/>
                <w:color w:val="000000" w:themeColor="text1"/>
                <w:sz w:val="18"/>
                <w:szCs w:val="18"/>
              </w:rPr>
              <w:t>Užsakovas</w:t>
            </w:r>
            <w:r w:rsidRPr="5D2955F3">
              <w:rPr>
                <w:rFonts w:ascii="Calibri" w:eastAsia="Calibri" w:hAnsi="Calibri" w:cs="Calibri"/>
                <w:color w:val="000000" w:themeColor="text1"/>
                <w:sz w:val="18"/>
                <w:szCs w:val="18"/>
              </w:rPr>
              <w:t xml:space="preserve"> </w:t>
            </w:r>
            <w:r w:rsidRPr="5D2955F3">
              <w:rPr>
                <w:rFonts w:ascii="Segoe UI" w:eastAsia="Segoe UI" w:hAnsi="Segoe UI" w:cs="Segoe UI"/>
                <w:color w:val="000000" w:themeColor="text1"/>
                <w:sz w:val="18"/>
                <w:szCs w:val="18"/>
              </w:rPr>
              <w:t xml:space="preserve"> apmoka taikant iki tol galiojusius Paslaugų įkainius, o už Paslaugas/Prekes, užsakytas (-us) po susitarimo pasirašymo dienos, </w:t>
            </w:r>
            <w:r w:rsidRPr="5D2955F3">
              <w:rPr>
                <w:rFonts w:ascii="Calibri" w:eastAsia="Calibri" w:hAnsi="Calibri" w:cs="Calibri"/>
                <w:color w:val="000000" w:themeColor="text1"/>
                <w:sz w:val="18"/>
                <w:szCs w:val="18"/>
              </w:rPr>
              <w:t xml:space="preserve"> </w:t>
            </w:r>
            <w:r w:rsidRPr="5D2955F3">
              <w:rPr>
                <w:rFonts w:ascii="Segoe UI" w:eastAsia="Segoe UI" w:hAnsi="Segoe UI" w:cs="Segoe UI"/>
                <w:color w:val="000000" w:themeColor="text1"/>
                <w:sz w:val="18"/>
                <w:szCs w:val="18"/>
              </w:rPr>
              <w:t>Paslaugų teikėjui</w:t>
            </w:r>
            <w:r w:rsidRPr="5D2955F3">
              <w:rPr>
                <w:rFonts w:ascii="Calibri" w:eastAsia="Calibri" w:hAnsi="Calibri" w:cs="Calibri"/>
                <w:color w:val="000000" w:themeColor="text1"/>
                <w:sz w:val="18"/>
                <w:szCs w:val="18"/>
              </w:rPr>
              <w:t xml:space="preserve"> </w:t>
            </w:r>
            <w:r w:rsidRPr="5D2955F3">
              <w:rPr>
                <w:rFonts w:ascii="Segoe UI" w:eastAsia="Segoe UI" w:hAnsi="Segoe UI" w:cs="Segoe UI"/>
                <w:color w:val="000000" w:themeColor="text1"/>
                <w:sz w:val="18"/>
                <w:szCs w:val="18"/>
              </w:rPr>
              <w:t xml:space="preserve"> bus apmokama taikant peržiūrėtus Paslaugų įkainius po peržiūros.</w:t>
            </w:r>
          </w:p>
        </w:tc>
      </w:tr>
    </w:tbl>
    <w:p w14:paraId="7AF50A01" w14:textId="77777777" w:rsidR="00A47C19" w:rsidRPr="00A47C19" w:rsidRDefault="00A47C19" w:rsidP="00A47C19"/>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11" w:name="_Toc329443229"/>
      <w:r w:rsidRPr="004903E5">
        <w:rPr>
          <w:rFonts w:ascii="Arial" w:hAnsi="Arial" w:cs="Arial"/>
          <w:b/>
          <w:bCs/>
          <w:sz w:val="20"/>
          <w:szCs w:val="20"/>
        </w:rPr>
        <w:t xml:space="preserve">PASIŪLYMO </w:t>
      </w:r>
      <w:r w:rsidR="00C13B84" w:rsidRPr="004903E5">
        <w:rPr>
          <w:rFonts w:ascii="Arial" w:hAnsi="Arial" w:cs="Arial"/>
          <w:b/>
          <w:bCs/>
          <w:sz w:val="20"/>
          <w:szCs w:val="20"/>
        </w:rPr>
        <w:t>GALIOJIMO TERMINAS</w:t>
      </w:r>
      <w:bookmarkEnd w:id="11"/>
    </w:p>
    <w:p w14:paraId="6F1D983E" w14:textId="0036532E" w:rsidR="00DE5FAA" w:rsidRDefault="001A44A5" w:rsidP="003B125F">
      <w:pPr>
        <w:pStyle w:val="ListParagraph"/>
        <w:tabs>
          <w:tab w:val="left" w:pos="567"/>
        </w:tabs>
        <w:spacing w:before="60" w:after="60"/>
        <w:ind w:left="0"/>
        <w:contextualSpacing w:val="0"/>
        <w:jc w:val="both"/>
        <w:rPr>
          <w:rFonts w:ascii="Arial" w:hAnsi="Arial" w:cs="Arial"/>
          <w:sz w:val="20"/>
          <w:szCs w:val="20"/>
        </w:rPr>
      </w:pPr>
      <w:bookmarkStart w:id="12" w:name="_Ref37569043"/>
      <w:r>
        <w:rPr>
          <w:rFonts w:ascii="Arial" w:hAnsi="Arial" w:cs="Arial"/>
          <w:sz w:val="20"/>
          <w:szCs w:val="20"/>
        </w:rPr>
        <w:t>6</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 xml:space="preserve">90 dienų nuo </w:t>
      </w:r>
      <w:r w:rsidR="00C632B9">
        <w:rPr>
          <w:rFonts w:ascii="Arial" w:hAnsi="Arial" w:cs="Arial"/>
          <w:sz w:val="20"/>
          <w:szCs w:val="20"/>
        </w:rPr>
        <w:t>p</w:t>
      </w:r>
      <w:r w:rsidR="00786D40">
        <w:rPr>
          <w:rFonts w:ascii="Arial" w:hAnsi="Arial" w:cs="Arial"/>
          <w:sz w:val="20"/>
          <w:szCs w:val="20"/>
        </w:rPr>
        <w:t>irminių pasiūlymų pateikimo termino pabaigos.</w:t>
      </w:r>
      <w:r w:rsidR="00836AC2">
        <w:rPr>
          <w:rFonts w:ascii="Arial" w:hAnsi="Arial" w:cs="Arial"/>
          <w:sz w:val="20"/>
          <w:szCs w:val="20"/>
        </w:rPr>
        <w:t xml:space="preserve"> </w:t>
      </w:r>
      <w:r w:rsidR="00C13B84" w:rsidRPr="004903E5">
        <w:rPr>
          <w:rFonts w:ascii="Arial" w:hAnsi="Arial" w:cs="Arial"/>
          <w:sz w:val="20"/>
          <w:szCs w:val="20"/>
        </w:rPr>
        <w:t xml:space="preserve"> </w:t>
      </w:r>
      <w:bookmarkEnd w:id="12"/>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ListParagraph"/>
        <w:spacing w:before="60" w:after="60"/>
        <w:rPr>
          <w:rFonts w:ascii="Arial" w:hAnsi="Arial" w:cs="Arial"/>
          <w:sz w:val="20"/>
          <w:szCs w:val="20"/>
        </w:rPr>
      </w:pPr>
    </w:p>
    <w:p w14:paraId="08792CA6" w14:textId="2202170E" w:rsidR="003548AC" w:rsidRPr="00E2569A" w:rsidRDefault="00DF1020" w:rsidP="00BF758E">
      <w:pPr>
        <w:pStyle w:val="ListParagraph"/>
        <w:numPr>
          <w:ilvl w:val="1"/>
          <w:numId w:val="24"/>
        </w:numPr>
        <w:spacing w:before="60" w:after="60"/>
        <w:ind w:left="426" w:hanging="426"/>
        <w:rPr>
          <w:rFonts w:ascii="Arial" w:hAnsi="Arial" w:cs="Arial"/>
          <w:sz w:val="20"/>
          <w:szCs w:val="20"/>
          <w:lang w:val="en-US"/>
        </w:rPr>
      </w:pPr>
      <w:bookmarkStart w:id="13" w:name="_Hlk26871002"/>
      <w:r w:rsidRPr="00E2569A">
        <w:rPr>
          <w:rFonts w:ascii="Arial" w:hAnsi="Arial" w:cs="Arial"/>
          <w:sz w:val="20"/>
          <w:szCs w:val="20"/>
          <w:lang w:val="en-US"/>
        </w:rPr>
        <w:t>Priedas Nr. 1</w:t>
      </w:r>
      <w:r w:rsidR="003E391C">
        <w:rPr>
          <w:rFonts w:ascii="Arial" w:hAnsi="Arial" w:cs="Arial"/>
          <w:sz w:val="20"/>
          <w:szCs w:val="20"/>
          <w:lang w:val="en-US"/>
        </w:rPr>
        <w:t>.</w:t>
      </w:r>
      <w:r w:rsidRPr="00E2569A">
        <w:rPr>
          <w:rFonts w:ascii="Arial" w:hAnsi="Arial" w:cs="Arial"/>
          <w:sz w:val="20"/>
          <w:szCs w:val="20"/>
          <w:lang w:val="en-US"/>
        </w:rPr>
        <w:t xml:space="preserve"> Konfidenciali informacija, 1 lapas.</w:t>
      </w:r>
      <w:bookmarkEnd w:id="13"/>
    </w:p>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34C25568" w14:textId="438CA3F5" w:rsidR="001B7844" w:rsidRDefault="001B7844" w:rsidP="001B7844">
      <w:pPr>
        <w:pStyle w:val="paragraph"/>
        <w:spacing w:before="0" w:beforeAutospacing="0" w:after="0" w:afterAutospacing="0"/>
        <w:jc w:val="both"/>
        <w:textAlignment w:val="baseline"/>
        <w:rPr>
          <w:rStyle w:val="eop"/>
          <w:rFonts w:ascii="Arial" w:hAnsi="Arial" w:cs="Arial"/>
          <w:sz w:val="20"/>
          <w:szCs w:val="20"/>
        </w:rPr>
      </w:pPr>
      <w:r w:rsidRPr="001B7844">
        <w:rPr>
          <w:rStyle w:val="normaltextrun"/>
          <w:rFonts w:ascii="Arial" w:hAnsi="Arial" w:cs="Arial"/>
          <w:sz w:val="20"/>
          <w:szCs w:val="20"/>
        </w:rPr>
        <w:t xml:space="preserve">Pažymime, kad pateikdami savo </w:t>
      </w:r>
      <w:r>
        <w:rPr>
          <w:rStyle w:val="normaltextrun"/>
          <w:rFonts w:ascii="Arial" w:hAnsi="Arial" w:cs="Arial"/>
          <w:sz w:val="20"/>
          <w:szCs w:val="20"/>
        </w:rPr>
        <w:t>p</w:t>
      </w:r>
      <w:r w:rsidRPr="001B7844">
        <w:rPr>
          <w:rStyle w:val="normaltextrun"/>
          <w:rFonts w:ascii="Arial" w:hAnsi="Arial" w:cs="Arial"/>
          <w:sz w:val="20"/>
          <w:szCs w:val="20"/>
        </w:rPr>
        <w:t xml:space="preserve">asiūlymą, sutinkame su </w:t>
      </w:r>
      <w:r>
        <w:rPr>
          <w:rStyle w:val="normaltextrun"/>
          <w:rFonts w:ascii="Arial" w:hAnsi="Arial" w:cs="Arial"/>
          <w:sz w:val="20"/>
          <w:szCs w:val="20"/>
        </w:rPr>
        <w:t>p</w:t>
      </w:r>
      <w:r w:rsidRPr="001B7844">
        <w:rPr>
          <w:rStyle w:val="normaltextrun"/>
          <w:rFonts w:ascii="Arial" w:hAnsi="Arial" w:cs="Arial"/>
          <w:sz w:val="20"/>
          <w:szCs w:val="20"/>
        </w:rPr>
        <w:t xml:space="preserve">irkimo </w:t>
      </w:r>
      <w:r>
        <w:rPr>
          <w:rStyle w:val="normaltextrun"/>
          <w:rFonts w:ascii="Arial" w:hAnsi="Arial" w:cs="Arial"/>
          <w:sz w:val="20"/>
          <w:szCs w:val="20"/>
        </w:rPr>
        <w:t>sąlygose</w:t>
      </w:r>
      <w:r w:rsidRPr="001B7844">
        <w:rPr>
          <w:rStyle w:val="normaltextrun"/>
          <w:rFonts w:ascii="Arial" w:hAnsi="Arial" w:cs="Arial"/>
          <w:sz w:val="20"/>
          <w:szCs w:val="20"/>
        </w:rPr>
        <w:t xml:space="preserve"> nustatytomis tolesnėmis </w:t>
      </w:r>
      <w:r>
        <w:rPr>
          <w:rStyle w:val="normaltextrun"/>
          <w:rFonts w:ascii="Arial" w:hAnsi="Arial" w:cs="Arial"/>
          <w:sz w:val="20"/>
          <w:szCs w:val="20"/>
        </w:rPr>
        <w:t>p</w:t>
      </w:r>
      <w:r w:rsidRPr="001B7844">
        <w:rPr>
          <w:rStyle w:val="normaltextrun"/>
          <w:rFonts w:ascii="Arial" w:hAnsi="Arial" w:cs="Arial"/>
          <w:sz w:val="20"/>
          <w:szCs w:val="20"/>
        </w:rPr>
        <w:t>irkimo procedūromis</w:t>
      </w:r>
      <w:r>
        <w:rPr>
          <w:rStyle w:val="normaltextrun"/>
          <w:rFonts w:ascii="Arial" w:hAnsi="Arial" w:cs="Arial"/>
          <w:sz w:val="20"/>
          <w:szCs w:val="20"/>
        </w:rPr>
        <w:t xml:space="preserve"> </w:t>
      </w:r>
      <w:r w:rsidRPr="001B7844">
        <w:rPr>
          <w:rStyle w:val="normaltextrun"/>
          <w:rFonts w:ascii="Arial" w:hAnsi="Arial" w:cs="Arial"/>
          <w:sz w:val="20"/>
          <w:szCs w:val="20"/>
        </w:rPr>
        <w:t xml:space="preserve">ir būsimos </w:t>
      </w:r>
      <w:r>
        <w:rPr>
          <w:rStyle w:val="normaltextrun"/>
          <w:rFonts w:ascii="Arial" w:hAnsi="Arial" w:cs="Arial"/>
          <w:sz w:val="20"/>
          <w:szCs w:val="20"/>
        </w:rPr>
        <w:t>s</w:t>
      </w:r>
      <w:r w:rsidRPr="001B7844">
        <w:rPr>
          <w:rStyle w:val="normaltextrun"/>
          <w:rFonts w:ascii="Arial" w:hAnsi="Arial" w:cs="Arial"/>
          <w:sz w:val="20"/>
          <w:szCs w:val="20"/>
        </w:rPr>
        <w:t>utarties sąlygomis (jei pridedamas Sutarties projektas). </w:t>
      </w:r>
    </w:p>
    <w:p w14:paraId="54BE5F35" w14:textId="77777777" w:rsidR="00B21665" w:rsidRPr="001B7844" w:rsidRDefault="00B21665" w:rsidP="001B7844">
      <w:pPr>
        <w:pStyle w:val="paragraph"/>
        <w:spacing w:before="0" w:beforeAutospacing="0" w:after="0" w:afterAutospacing="0"/>
        <w:jc w:val="both"/>
        <w:textAlignment w:val="baseline"/>
        <w:rPr>
          <w:rFonts w:ascii="Segoe UI" w:hAnsi="Segoe UI" w:cs="Segoe UI"/>
          <w:sz w:val="18"/>
          <w:szCs w:val="18"/>
        </w:rPr>
      </w:pPr>
    </w:p>
    <w:p w14:paraId="1E534921" w14:textId="1E245241" w:rsidR="001B7844" w:rsidRDefault="001B7844" w:rsidP="001B7844">
      <w:pPr>
        <w:pStyle w:val="paragraph"/>
        <w:spacing w:before="0" w:beforeAutospacing="0" w:after="0" w:afterAutospacing="0"/>
        <w:jc w:val="both"/>
        <w:textAlignment w:val="baseline"/>
        <w:rPr>
          <w:rStyle w:val="eop"/>
          <w:rFonts w:ascii="Arial" w:hAnsi="Arial" w:cs="Arial"/>
          <w:sz w:val="20"/>
          <w:szCs w:val="20"/>
        </w:rPr>
      </w:pPr>
      <w:r w:rsidRPr="001B7844">
        <w:rPr>
          <w:rStyle w:val="normaltextrun"/>
          <w:rFonts w:ascii="Arial" w:hAnsi="Arial" w:cs="Arial"/>
          <w:sz w:val="20"/>
          <w:szCs w:val="20"/>
        </w:rPr>
        <w:t xml:space="preserve">Patvirtiname, kad atidžiai perskaitėme visus </w:t>
      </w:r>
      <w:r w:rsidR="00B21665">
        <w:rPr>
          <w:rStyle w:val="normaltextrun"/>
          <w:rFonts w:ascii="Arial" w:hAnsi="Arial" w:cs="Arial"/>
          <w:sz w:val="20"/>
          <w:szCs w:val="20"/>
        </w:rPr>
        <w:t>p</w:t>
      </w:r>
      <w:r w:rsidRPr="001B7844">
        <w:rPr>
          <w:rStyle w:val="normaltextrun"/>
          <w:rFonts w:ascii="Arial" w:hAnsi="Arial" w:cs="Arial"/>
          <w:sz w:val="20"/>
          <w:szCs w:val="20"/>
        </w:rPr>
        <w:t xml:space="preserve">irkimo </w:t>
      </w:r>
      <w:r w:rsidR="00B21665">
        <w:rPr>
          <w:rStyle w:val="normaltextrun"/>
          <w:rFonts w:ascii="Arial" w:hAnsi="Arial" w:cs="Arial"/>
          <w:sz w:val="20"/>
          <w:szCs w:val="20"/>
        </w:rPr>
        <w:t>sąlygų</w:t>
      </w:r>
      <w:r w:rsidRPr="001B7844">
        <w:rPr>
          <w:rStyle w:val="normaltextrun"/>
          <w:rFonts w:ascii="Arial" w:hAnsi="Arial" w:cs="Arial"/>
          <w:sz w:val="20"/>
          <w:szCs w:val="20"/>
        </w:rPr>
        <w:t xml:space="preserve"> reikalavimus, mūsų </w:t>
      </w:r>
      <w:r w:rsidR="00B21665">
        <w:rPr>
          <w:rStyle w:val="normaltextrun"/>
          <w:rFonts w:ascii="Arial" w:hAnsi="Arial" w:cs="Arial"/>
          <w:sz w:val="20"/>
          <w:szCs w:val="20"/>
        </w:rPr>
        <w:t>p</w:t>
      </w:r>
      <w:r w:rsidRPr="001B7844">
        <w:rPr>
          <w:rStyle w:val="normaltextrun"/>
          <w:rFonts w:ascii="Arial" w:hAnsi="Arial" w:cs="Arial"/>
          <w:sz w:val="20"/>
          <w:szCs w:val="20"/>
        </w:rPr>
        <w:t xml:space="preserve">asiūlymas juos visiškai atitinka ir įsipareigojame jų laikytis vykdydami </w:t>
      </w:r>
      <w:r w:rsidR="00B21665">
        <w:rPr>
          <w:rStyle w:val="normaltextrun"/>
          <w:rFonts w:ascii="Arial" w:hAnsi="Arial" w:cs="Arial"/>
          <w:sz w:val="20"/>
          <w:szCs w:val="20"/>
        </w:rPr>
        <w:t>s</w:t>
      </w:r>
      <w:r w:rsidRPr="001B7844">
        <w:rPr>
          <w:rStyle w:val="normaltextrun"/>
          <w:rFonts w:ascii="Arial" w:hAnsi="Arial" w:cs="Arial"/>
          <w:sz w:val="20"/>
          <w:szCs w:val="20"/>
        </w:rPr>
        <w:t xml:space="preserve">utartį. Taip pat įsipareigojame laikytis ir kitų Lietuvos Respublikoje galiojančių ir </w:t>
      </w:r>
      <w:r w:rsidR="00B21665">
        <w:rPr>
          <w:rStyle w:val="normaltextrun"/>
          <w:rFonts w:ascii="Arial" w:hAnsi="Arial" w:cs="Arial"/>
          <w:sz w:val="20"/>
          <w:szCs w:val="20"/>
        </w:rPr>
        <w:t>p</w:t>
      </w:r>
      <w:r w:rsidRPr="001B7844">
        <w:rPr>
          <w:rStyle w:val="normaltextrun"/>
          <w:rFonts w:ascii="Arial" w:hAnsi="Arial" w:cs="Arial"/>
          <w:sz w:val="20"/>
          <w:szCs w:val="20"/>
        </w:rPr>
        <w:t xml:space="preserve">irkimo objektui bei </w:t>
      </w:r>
      <w:r w:rsidR="00B21665">
        <w:rPr>
          <w:rStyle w:val="normaltextrun"/>
          <w:rFonts w:ascii="Arial" w:hAnsi="Arial" w:cs="Arial"/>
          <w:sz w:val="20"/>
          <w:szCs w:val="20"/>
        </w:rPr>
        <w:t>s</w:t>
      </w:r>
      <w:r w:rsidRPr="001B7844">
        <w:rPr>
          <w:rStyle w:val="normaltextrun"/>
          <w:rFonts w:ascii="Arial" w:hAnsi="Arial" w:cs="Arial"/>
          <w:sz w:val="20"/>
          <w:szCs w:val="20"/>
        </w:rPr>
        <w:t xml:space="preserve">utarčiai taikomų teisės aktų reikalavimų. Rengdami </w:t>
      </w:r>
      <w:r w:rsidR="00B21665">
        <w:rPr>
          <w:rStyle w:val="normaltextrun"/>
          <w:rFonts w:ascii="Arial" w:hAnsi="Arial" w:cs="Arial"/>
          <w:sz w:val="20"/>
          <w:szCs w:val="20"/>
        </w:rPr>
        <w:t>p</w:t>
      </w:r>
      <w:r w:rsidRPr="001B7844">
        <w:rPr>
          <w:rStyle w:val="normaltextrun"/>
          <w:rFonts w:ascii="Arial" w:hAnsi="Arial" w:cs="Arial"/>
          <w:sz w:val="20"/>
          <w:szCs w:val="20"/>
        </w:rPr>
        <w:t>asiūlymą, atsižvelgėme į darbų saugos, darbo sąlygų, nacionalinio saugumo reikalavimus.</w:t>
      </w:r>
    </w:p>
    <w:p w14:paraId="72BAB41E" w14:textId="77777777" w:rsidR="00B21665" w:rsidRPr="001B7844" w:rsidRDefault="00B21665" w:rsidP="001B7844">
      <w:pPr>
        <w:pStyle w:val="paragraph"/>
        <w:spacing w:before="0" w:beforeAutospacing="0" w:after="0" w:afterAutospacing="0"/>
        <w:jc w:val="both"/>
        <w:textAlignment w:val="baseline"/>
        <w:rPr>
          <w:rFonts w:ascii="Segoe UI" w:hAnsi="Segoe UI" w:cs="Segoe UI"/>
          <w:sz w:val="18"/>
          <w:szCs w:val="18"/>
        </w:rPr>
      </w:pPr>
    </w:p>
    <w:p w14:paraId="7C29425D" w14:textId="30B573DF" w:rsidR="001B7844" w:rsidRDefault="001B7844" w:rsidP="001B7844">
      <w:pPr>
        <w:pStyle w:val="paragraph"/>
        <w:spacing w:before="0" w:beforeAutospacing="0" w:after="0" w:afterAutospacing="0"/>
        <w:jc w:val="both"/>
        <w:textAlignment w:val="baseline"/>
        <w:rPr>
          <w:rStyle w:val="eop"/>
          <w:rFonts w:ascii="Arial" w:hAnsi="Arial" w:cs="Arial"/>
          <w:sz w:val="20"/>
          <w:szCs w:val="20"/>
        </w:rPr>
      </w:pPr>
      <w:r w:rsidRPr="001B7844">
        <w:rPr>
          <w:rStyle w:val="normaltextrun"/>
          <w:rFonts w:ascii="Arial" w:hAnsi="Arial" w:cs="Arial"/>
          <w:sz w:val="20"/>
          <w:szCs w:val="20"/>
        </w:rPr>
        <w:t xml:space="preserve">Pasirašydami šį </w:t>
      </w:r>
      <w:r w:rsidR="00B21665">
        <w:rPr>
          <w:rStyle w:val="normaltextrun"/>
          <w:rFonts w:ascii="Arial" w:hAnsi="Arial" w:cs="Arial"/>
          <w:sz w:val="20"/>
          <w:szCs w:val="20"/>
        </w:rPr>
        <w:t>p</w:t>
      </w:r>
      <w:r w:rsidRPr="001B7844">
        <w:rPr>
          <w:rStyle w:val="normaltextrun"/>
          <w:rFonts w:ascii="Arial" w:hAnsi="Arial" w:cs="Arial"/>
          <w:sz w:val="20"/>
          <w:szCs w:val="20"/>
        </w:rPr>
        <w:t xml:space="preserve">asiūlymą, tvirtiname visų kartu su </w:t>
      </w:r>
      <w:r w:rsidR="00B21665">
        <w:rPr>
          <w:rStyle w:val="normaltextrun"/>
          <w:rFonts w:ascii="Arial" w:hAnsi="Arial" w:cs="Arial"/>
          <w:sz w:val="20"/>
          <w:szCs w:val="20"/>
        </w:rPr>
        <w:t>p</w:t>
      </w:r>
      <w:r w:rsidRPr="001B7844">
        <w:rPr>
          <w:rStyle w:val="normaltextrun"/>
          <w:rFonts w:ascii="Arial" w:hAnsi="Arial" w:cs="Arial"/>
          <w:sz w:val="20"/>
          <w:szCs w:val="20"/>
        </w:rPr>
        <w:t>asiūlymu pateikiamų dokumentų tikrumą.</w:t>
      </w:r>
    </w:p>
    <w:p w14:paraId="57D4BA00" w14:textId="77777777" w:rsidR="00B21665" w:rsidRPr="001B7844" w:rsidRDefault="00B21665" w:rsidP="001B7844">
      <w:pPr>
        <w:pStyle w:val="paragraph"/>
        <w:spacing w:before="0" w:beforeAutospacing="0" w:after="0" w:afterAutospacing="0"/>
        <w:jc w:val="both"/>
        <w:textAlignment w:val="baseline"/>
        <w:rPr>
          <w:rFonts w:ascii="Segoe UI" w:hAnsi="Segoe UI" w:cs="Segoe UI"/>
          <w:sz w:val="18"/>
          <w:szCs w:val="18"/>
        </w:rPr>
      </w:pPr>
    </w:p>
    <w:p w14:paraId="55E3DFA5" w14:textId="310320A0" w:rsidR="001B7844" w:rsidRPr="001B7844" w:rsidRDefault="001B7844" w:rsidP="001B7844">
      <w:pPr>
        <w:pStyle w:val="paragraph"/>
        <w:spacing w:before="0" w:beforeAutospacing="0" w:after="0" w:afterAutospacing="0"/>
        <w:jc w:val="both"/>
        <w:textAlignment w:val="baseline"/>
        <w:rPr>
          <w:rFonts w:ascii="Segoe UI" w:hAnsi="Segoe UI" w:cs="Segoe UI"/>
          <w:sz w:val="18"/>
          <w:szCs w:val="18"/>
        </w:rPr>
      </w:pPr>
      <w:r w:rsidRPr="001B7844">
        <w:rPr>
          <w:rStyle w:val="normaltextrun"/>
          <w:rFonts w:ascii="Arial" w:hAnsi="Arial" w:cs="Arial"/>
          <w:sz w:val="20"/>
          <w:szCs w:val="20"/>
        </w:rPr>
        <w:t xml:space="preserve">Patvirtiname, kad sprendimą šiame </w:t>
      </w:r>
      <w:r w:rsidR="00B21665">
        <w:rPr>
          <w:rStyle w:val="normaltextrun"/>
          <w:rFonts w:ascii="Arial" w:hAnsi="Arial" w:cs="Arial"/>
          <w:sz w:val="20"/>
          <w:szCs w:val="20"/>
        </w:rPr>
        <w:t>p</w:t>
      </w:r>
      <w:r w:rsidRPr="001B7844">
        <w:rPr>
          <w:rStyle w:val="normaltextrun"/>
          <w:rFonts w:ascii="Arial" w:hAnsi="Arial" w:cs="Arial"/>
          <w:sz w:val="20"/>
          <w:szCs w:val="20"/>
        </w:rPr>
        <w:t xml:space="preserve">irkime dalyvauti pasitelkdami </w:t>
      </w:r>
      <w:r w:rsidR="00B21665">
        <w:rPr>
          <w:rStyle w:val="normaltextrun"/>
          <w:rFonts w:ascii="Arial" w:hAnsi="Arial" w:cs="Arial"/>
          <w:sz w:val="20"/>
          <w:szCs w:val="20"/>
        </w:rPr>
        <w:t>s</w:t>
      </w:r>
      <w:r w:rsidRPr="001B7844">
        <w:rPr>
          <w:rStyle w:val="normaltextrun"/>
          <w:rFonts w:ascii="Arial" w:hAnsi="Arial" w:cs="Arial"/>
          <w:sz w:val="20"/>
          <w:szCs w:val="20"/>
        </w:rPr>
        <w:t>ubtiekėjus priėmėme, neturėdami tikslo riboti konkurencijos ir įvertinę Lietuvos Respublikos konkurencijos įstatymo bei kitų teisės aktų reikalavimus.</w:t>
      </w:r>
      <w:r w:rsidRPr="001B7844">
        <w:rPr>
          <w:rStyle w:val="eop"/>
          <w:rFonts w:ascii="Arial" w:hAnsi="Arial" w:cs="Arial"/>
          <w:sz w:val="20"/>
          <w:szCs w:val="20"/>
        </w:rPr>
        <w:t> </w:t>
      </w:r>
    </w:p>
    <w:p w14:paraId="1F30E38A" w14:textId="2045E72C" w:rsidR="00812F53" w:rsidRDefault="00812F53" w:rsidP="00812F53">
      <w:pPr>
        <w:spacing w:before="60" w:after="60"/>
        <w:jc w:val="both"/>
        <w:rPr>
          <w:rFonts w:ascii="Arial" w:hAnsi="Arial" w:cs="Arial"/>
          <w:sz w:val="20"/>
          <w:szCs w:val="20"/>
        </w:rPr>
      </w:pPr>
    </w:p>
    <w:p w14:paraId="7C6FAD30" w14:textId="77777777" w:rsidR="00812F53" w:rsidRPr="009202C3" w:rsidRDefault="00812F53" w:rsidP="00A47C19">
      <w:pPr>
        <w:spacing w:before="60" w:after="60"/>
        <w:ind w:firstLine="720"/>
        <w:jc w:val="center"/>
        <w:rPr>
          <w:rFonts w:ascii="Arial" w:hAnsi="Arial" w:cs="Arial"/>
          <w:sz w:val="20"/>
          <w:szCs w:val="20"/>
        </w:rPr>
      </w:pPr>
    </w:p>
    <w:p w14:paraId="79A2983A" w14:textId="01055BF5"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____________________</w:t>
      </w:r>
      <w:r w:rsidR="008573ED" w:rsidRPr="008573ED">
        <w:rPr>
          <w:rFonts w:ascii="Arial" w:hAnsi="Arial" w:cs="Arial"/>
          <w:sz w:val="20"/>
          <w:szCs w:val="20"/>
          <w:u w:val="single"/>
        </w:rPr>
        <w:t xml:space="preserve"> </w:t>
      </w:r>
      <w:r w:rsidR="00FC4731">
        <w:rPr>
          <w:rFonts w:ascii="Arial" w:hAnsi="Arial" w:cs="Arial"/>
          <w:sz w:val="20"/>
          <w:szCs w:val="20"/>
          <w:u w:val="single"/>
        </w:rPr>
        <w:t>_______________</w:t>
      </w:r>
      <w:r w:rsidRPr="009202C3">
        <w:rPr>
          <w:rFonts w:ascii="Arial" w:hAnsi="Arial" w:cs="Arial"/>
          <w:sz w:val="20"/>
          <w:szCs w:val="20"/>
        </w:rPr>
        <w:t>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EF0074">
          <w:headerReference w:type="even" r:id="rId16"/>
          <w:headerReference w:type="default" r:id="rId17"/>
          <w:footerReference w:type="even" r:id="rId18"/>
          <w:footerReference w:type="default" r:id="rId19"/>
          <w:headerReference w:type="first" r:id="rId20"/>
          <w:footerReference w:type="first" r:id="rId21"/>
          <w:pgSz w:w="11906" w:h="16838" w:code="9"/>
          <w:pgMar w:top="567" w:right="720" w:bottom="720" w:left="1418"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FootnoteReference"/>
          <w:rFonts w:ascii="Arial" w:hAnsi="Arial" w:cs="Arial"/>
          <w:sz w:val="20"/>
          <w:szCs w:val="20"/>
        </w:rPr>
        <w:footnoteReference w:id="5"/>
      </w:r>
    </w:p>
    <w:p w14:paraId="4928F51E" w14:textId="45A9546C" w:rsidR="00C95042" w:rsidRDefault="0077336F" w:rsidP="009F6E07">
      <w:pPr>
        <w:spacing w:before="60" w:after="60"/>
        <w:jc w:val="right"/>
        <w:rPr>
          <w:rFonts w:ascii="Arial" w:hAnsi="Arial" w:cs="Arial"/>
          <w:sz w:val="20"/>
          <w:szCs w:val="20"/>
        </w:rPr>
      </w:pPr>
      <w:r>
        <w:rPr>
          <w:rFonts w:ascii="Arial" w:hAnsi="Arial" w:cs="Arial"/>
          <w:sz w:val="20"/>
          <w:szCs w:val="20"/>
        </w:rPr>
        <w:lastRenderedPageBreak/>
        <w:t xml:space="preserve">Priedas Nr. </w:t>
      </w:r>
      <w:r w:rsidR="00DF1020">
        <w:rPr>
          <w:rFonts w:ascii="Arial" w:hAnsi="Arial" w:cs="Arial"/>
          <w:sz w:val="20"/>
          <w:szCs w:val="20"/>
        </w:rPr>
        <w:t>2</w:t>
      </w:r>
      <w:r>
        <w:rPr>
          <w:rFonts w:ascii="Arial" w:hAnsi="Arial" w:cs="Arial"/>
          <w:sz w:val="20"/>
          <w:szCs w:val="20"/>
        </w:rPr>
        <w:t xml:space="preserve">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4B9E6CE2" w:rsidR="00090891" w:rsidRDefault="00090891" w:rsidP="00090891">
      <w:pPr>
        <w:spacing w:before="60" w:after="60"/>
        <w:jc w:val="both"/>
        <w:rPr>
          <w:rFonts w:ascii="Arial" w:hAnsi="Arial" w:cs="Arial"/>
          <w:sz w:val="20"/>
          <w:szCs w:val="20"/>
        </w:rPr>
      </w:pPr>
      <w:r>
        <w:rPr>
          <w:rFonts w:ascii="Arial" w:hAnsi="Arial" w:cs="Arial"/>
          <w:sz w:val="20"/>
          <w:szCs w:val="20"/>
        </w:rPr>
        <w:t xml:space="preserve">Atkreipiame </w:t>
      </w:r>
      <w:r w:rsidR="006A7CAA">
        <w:rPr>
          <w:rFonts w:ascii="Arial" w:hAnsi="Arial" w:cs="Arial"/>
          <w:sz w:val="20"/>
          <w:szCs w:val="20"/>
        </w:rPr>
        <w:t>t</w:t>
      </w:r>
      <w:r>
        <w:rPr>
          <w:rFonts w:ascii="Arial" w:hAnsi="Arial" w:cs="Arial"/>
          <w:sz w:val="20"/>
          <w:szCs w:val="20"/>
        </w:rPr>
        <w:t>iekėj</w:t>
      </w:r>
      <w:r w:rsidR="00812F53">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 xml:space="preserve">žemiau lentelėje nurodyta </w:t>
      </w:r>
      <w:r w:rsidR="006A7CAA">
        <w:rPr>
          <w:rFonts w:ascii="Arial" w:hAnsi="Arial" w:cs="Arial"/>
          <w:b/>
          <w:sz w:val="20"/>
          <w:szCs w:val="20"/>
          <w:u w:val="single"/>
        </w:rPr>
        <w:t>p</w:t>
      </w:r>
      <w:r w:rsidRPr="00D12F2B">
        <w:rPr>
          <w:rFonts w:ascii="Arial" w:hAnsi="Arial" w:cs="Arial"/>
          <w:b/>
          <w:sz w:val="20"/>
          <w:szCs w:val="20"/>
          <w:u w:val="single"/>
        </w:rPr>
        <w:t>asiūlymuose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TableGrid"/>
        <w:tblW w:w="10475" w:type="dxa"/>
        <w:tblLook w:val="04A0" w:firstRow="1" w:lastRow="0" w:firstColumn="1" w:lastColumn="0" w:noHBand="0" w:noVBand="1"/>
      </w:tblPr>
      <w:tblGrid>
        <w:gridCol w:w="517"/>
        <w:gridCol w:w="3111"/>
        <w:gridCol w:w="6847"/>
      </w:tblGrid>
      <w:tr w:rsidR="00786D40" w:rsidRPr="003B1940" w14:paraId="65BB54DF" w14:textId="43D03958" w:rsidTr="00EF0074">
        <w:trPr>
          <w:trHeight w:val="283"/>
        </w:trPr>
        <w:tc>
          <w:tcPr>
            <w:tcW w:w="375" w:type="dxa"/>
            <w:vAlign w:val="center"/>
          </w:tcPr>
          <w:p w14:paraId="271E7E75"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Eil. Nr.</w:t>
            </w:r>
          </w:p>
        </w:tc>
        <w:tc>
          <w:tcPr>
            <w:tcW w:w="3146" w:type="dxa"/>
            <w:vAlign w:val="center"/>
          </w:tcPr>
          <w:p w14:paraId="57E62917" w14:textId="77777777" w:rsidR="00786D40" w:rsidRPr="003B1940" w:rsidRDefault="00786D40" w:rsidP="0093124E">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6"/>
            </w:r>
          </w:p>
        </w:tc>
        <w:tc>
          <w:tcPr>
            <w:tcW w:w="6954" w:type="dxa"/>
            <w:vAlign w:val="center"/>
          </w:tcPr>
          <w:p w14:paraId="33C34859"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Viešinimo pagrindas</w:t>
            </w:r>
          </w:p>
        </w:tc>
      </w:tr>
      <w:tr w:rsidR="00786D40" w:rsidRPr="003B1940" w14:paraId="269BFA63" w14:textId="4E63D592" w:rsidTr="00EF0074">
        <w:trPr>
          <w:trHeight w:val="396"/>
        </w:trPr>
        <w:tc>
          <w:tcPr>
            <w:tcW w:w="375" w:type="dxa"/>
            <w:vAlign w:val="center"/>
          </w:tcPr>
          <w:p w14:paraId="5EB3E758" w14:textId="77777777" w:rsidR="00786D40" w:rsidRPr="003B1940" w:rsidRDefault="00786D40" w:rsidP="0093124E">
            <w:pPr>
              <w:spacing w:before="60" w:after="60"/>
              <w:rPr>
                <w:rFonts w:ascii="Arial" w:hAnsi="Arial" w:cs="Arial"/>
                <w:sz w:val="20"/>
                <w:szCs w:val="20"/>
              </w:rPr>
            </w:pPr>
            <w:r w:rsidRPr="003B1940">
              <w:rPr>
                <w:rFonts w:ascii="Arial" w:hAnsi="Arial" w:cs="Arial"/>
                <w:sz w:val="20"/>
                <w:szCs w:val="20"/>
              </w:rPr>
              <w:t>1.</w:t>
            </w:r>
          </w:p>
        </w:tc>
        <w:tc>
          <w:tcPr>
            <w:tcW w:w="3146" w:type="dxa"/>
            <w:vAlign w:val="center"/>
          </w:tcPr>
          <w:p w14:paraId="36BF103B" w14:textId="554C80E2" w:rsidR="00786D40" w:rsidRPr="003B1940" w:rsidRDefault="00786D40" w:rsidP="007D2C0E">
            <w:pPr>
              <w:spacing w:before="60" w:after="60"/>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 xml:space="preserve">(be priedų, bei </w:t>
            </w:r>
            <w:r w:rsidR="006A7CAA">
              <w:rPr>
                <w:rFonts w:ascii="Arial" w:hAnsi="Arial" w:cs="Arial"/>
                <w:sz w:val="20"/>
                <w:szCs w:val="20"/>
              </w:rPr>
              <w:t>t</w:t>
            </w:r>
            <w:r w:rsidRPr="00D905F3">
              <w:rPr>
                <w:rFonts w:ascii="Arial" w:hAnsi="Arial" w:cs="Arial"/>
                <w:sz w:val="20"/>
                <w:szCs w:val="20"/>
              </w:rPr>
              <w:t>iekėjo (juridinio asmens) informaciją, nurodytą</w:t>
            </w:r>
            <w:r w:rsidR="007D2C0E">
              <w:rPr>
                <w:rFonts w:ascii="Arial" w:hAnsi="Arial" w:cs="Arial"/>
                <w:sz w:val="20"/>
                <w:szCs w:val="20"/>
              </w:rPr>
              <w:t xml:space="preserve"> šios pasiūlymo formos 1 dalyje</w:t>
            </w:r>
            <w:r w:rsidRPr="00D905F3">
              <w:rPr>
                <w:rFonts w:ascii="Arial" w:hAnsi="Arial" w:cs="Arial"/>
                <w:sz w:val="20"/>
                <w:szCs w:val="20"/>
              </w:rPr>
              <w:t>)</w:t>
            </w:r>
          </w:p>
        </w:tc>
        <w:tc>
          <w:tcPr>
            <w:tcW w:w="6954" w:type="dxa"/>
            <w:vAlign w:val="center"/>
          </w:tcPr>
          <w:p w14:paraId="5ADE8B89" w14:textId="06668C3F" w:rsidR="00786D40" w:rsidRPr="00EF0074" w:rsidRDefault="00786D40" w:rsidP="007D2C0E">
            <w:pPr>
              <w:spacing w:before="60" w:after="60"/>
              <w:rPr>
                <w:rFonts w:ascii="Arial" w:hAnsi="Arial" w:cs="Arial"/>
                <w:sz w:val="20"/>
                <w:szCs w:val="20"/>
              </w:rPr>
            </w:pPr>
            <w:r w:rsidRPr="00EF0074">
              <w:rPr>
                <w:rFonts w:ascii="Arial" w:hAnsi="Arial" w:cs="Arial"/>
                <w:b/>
                <w:sz w:val="20"/>
                <w:szCs w:val="20"/>
              </w:rPr>
              <w:t>Viešinama</w:t>
            </w:r>
            <w:r w:rsidRPr="00EF0074">
              <w:rPr>
                <w:rFonts w:ascii="Arial" w:hAnsi="Arial" w:cs="Arial"/>
                <w:sz w:val="20"/>
                <w:szCs w:val="20"/>
              </w:rPr>
              <w:t xml:space="preserve"> vadovaujantis ir VPĮ 20 straipsnio 2 dalimi</w:t>
            </w:r>
            <w:r w:rsidR="0091336B" w:rsidRPr="00EF0074">
              <w:rPr>
                <w:rFonts w:ascii="Arial" w:hAnsi="Arial" w:cs="Arial"/>
                <w:sz w:val="20"/>
                <w:szCs w:val="20"/>
              </w:rPr>
              <w:t xml:space="preserve"> / PĮ 32 straipsnio 2 dalimi.</w:t>
            </w:r>
            <w:r w:rsidR="007D2C0E" w:rsidRPr="00EF0074">
              <w:rPr>
                <w:rFonts w:ascii="Arial" w:hAnsi="Arial" w:cs="Arial"/>
                <w:sz w:val="20"/>
                <w:szCs w:val="20"/>
              </w:rPr>
              <w:t>, išskyrus informaciją, kurios atskleidimas negalimas pagal Asmens duomenų teisinės apsaugos įstatymą.</w:t>
            </w:r>
          </w:p>
        </w:tc>
      </w:tr>
      <w:tr w:rsidR="00FB5A7D" w:rsidRPr="003B1940" w14:paraId="6DA83604" w14:textId="77777777" w:rsidTr="00EF0074">
        <w:trPr>
          <w:trHeight w:val="283"/>
        </w:trPr>
        <w:tc>
          <w:tcPr>
            <w:tcW w:w="375" w:type="dxa"/>
            <w:vAlign w:val="center"/>
          </w:tcPr>
          <w:p w14:paraId="7103DD8B" w14:textId="066C7D67" w:rsidR="00FB5A7D" w:rsidRPr="003B1940" w:rsidRDefault="00FB5A7D" w:rsidP="00FB5A7D">
            <w:pPr>
              <w:spacing w:before="60" w:after="60"/>
              <w:rPr>
                <w:rFonts w:ascii="Arial" w:hAnsi="Arial" w:cs="Arial"/>
                <w:sz w:val="20"/>
                <w:szCs w:val="20"/>
              </w:rPr>
            </w:pPr>
            <w:r>
              <w:rPr>
                <w:rFonts w:ascii="Arial" w:hAnsi="Arial" w:cs="Arial"/>
                <w:sz w:val="20"/>
                <w:szCs w:val="20"/>
              </w:rPr>
              <w:t>2.</w:t>
            </w:r>
          </w:p>
        </w:tc>
        <w:tc>
          <w:tcPr>
            <w:tcW w:w="3146" w:type="dxa"/>
            <w:vAlign w:val="center"/>
          </w:tcPr>
          <w:p w14:paraId="3C572138" w14:textId="518575DF" w:rsidR="00FB5A7D" w:rsidRPr="003B1940" w:rsidRDefault="00FB5A7D" w:rsidP="00FB5A7D">
            <w:pPr>
              <w:spacing w:before="60" w:after="60"/>
              <w:rPr>
                <w:rFonts w:ascii="Arial" w:hAnsi="Arial" w:cs="Arial"/>
                <w:sz w:val="20"/>
                <w:szCs w:val="20"/>
              </w:rPr>
            </w:pPr>
            <w:r>
              <w:rPr>
                <w:rFonts w:ascii="Arial" w:hAnsi="Arial" w:cs="Arial"/>
                <w:sz w:val="20"/>
                <w:szCs w:val="20"/>
              </w:rPr>
              <w:t>Įkainiai</w:t>
            </w:r>
          </w:p>
        </w:tc>
        <w:tc>
          <w:tcPr>
            <w:tcW w:w="6954" w:type="dxa"/>
            <w:vAlign w:val="center"/>
          </w:tcPr>
          <w:p w14:paraId="75A247C5" w14:textId="304A80CE" w:rsidR="00FB5A7D" w:rsidRPr="00EF0074" w:rsidRDefault="00FB5A7D" w:rsidP="00FB5A7D">
            <w:pPr>
              <w:spacing w:before="60" w:after="60"/>
              <w:rPr>
                <w:rFonts w:ascii="Arial" w:hAnsi="Arial" w:cs="Arial"/>
                <w:b/>
                <w:sz w:val="20"/>
                <w:szCs w:val="20"/>
              </w:rPr>
            </w:pPr>
            <w:r w:rsidRPr="00EF0074">
              <w:rPr>
                <w:rFonts w:ascii="Arial" w:hAnsi="Arial" w:cs="Arial"/>
                <w:b/>
                <w:sz w:val="20"/>
                <w:szCs w:val="20"/>
              </w:rPr>
              <w:t xml:space="preserve">Viešinama </w:t>
            </w:r>
            <w:r w:rsidRPr="00EF0074">
              <w:rPr>
                <w:rFonts w:ascii="Arial" w:hAnsi="Arial" w:cs="Arial"/>
                <w:sz w:val="20"/>
                <w:szCs w:val="20"/>
              </w:rPr>
              <w:t>vadovaujantis VPĮ 20 straipsnio 2 dalimi/ PĮ 32 straipsnio 2 dalimi, VPT ir teismų formuojama praktika, išskyrus įkainių sudedamąsias dalis.</w:t>
            </w:r>
          </w:p>
        </w:tc>
      </w:tr>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0E160098"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812F53">
        <w:rPr>
          <w:rFonts w:ascii="Arial" w:hAnsi="Arial" w:cs="Arial"/>
          <w:sz w:val="20"/>
          <w:szCs w:val="20"/>
        </w:rPr>
        <w:t>o</w:t>
      </w:r>
      <w:r w:rsidRPr="008F41CD">
        <w:rPr>
          <w:rFonts w:ascii="Arial" w:hAnsi="Arial" w:cs="Arial"/>
          <w:sz w:val="20"/>
          <w:szCs w:val="20"/>
        </w:rPr>
        <w:t xml:space="preserve"> </w:t>
      </w:r>
      <w:r w:rsidR="006A7CAA">
        <w:rPr>
          <w:rFonts w:ascii="Arial" w:hAnsi="Arial" w:cs="Arial"/>
          <w:sz w:val="20"/>
          <w:szCs w:val="20"/>
        </w:rPr>
        <w:t>t</w:t>
      </w:r>
      <w:r w:rsidR="001635A5">
        <w:rPr>
          <w:rFonts w:ascii="Arial" w:hAnsi="Arial" w:cs="Arial"/>
          <w:sz w:val="20"/>
          <w:szCs w:val="20"/>
        </w:rPr>
        <w:t>iekėj</w:t>
      </w:r>
      <w:r w:rsidR="00812F53">
        <w:rPr>
          <w:rFonts w:ascii="Arial" w:hAnsi="Arial" w:cs="Arial"/>
          <w:sz w:val="20"/>
          <w:szCs w:val="20"/>
        </w:rPr>
        <w:t>o</w:t>
      </w:r>
      <w:r w:rsidRPr="008F41CD">
        <w:rPr>
          <w:rFonts w:ascii="Arial" w:hAnsi="Arial" w:cs="Arial"/>
          <w:sz w:val="20"/>
          <w:szCs w:val="20"/>
        </w:rPr>
        <w:t xml:space="preserve"> pasiūlymuose esančios informacijos paskelbimas neprieštarautų teisės aktų reikalavimams, teisėtiems </w:t>
      </w:r>
      <w:r w:rsidR="006A7CAA">
        <w:rPr>
          <w:rFonts w:ascii="Arial" w:hAnsi="Arial" w:cs="Arial"/>
          <w:sz w:val="20"/>
          <w:szCs w:val="20"/>
        </w:rPr>
        <w:t>t</w:t>
      </w:r>
      <w:r w:rsidRPr="008F41CD">
        <w:rPr>
          <w:rFonts w:ascii="Arial" w:hAnsi="Arial" w:cs="Arial"/>
          <w:sz w:val="20"/>
          <w:szCs w:val="20"/>
        </w:rPr>
        <w:t>iekėj</w:t>
      </w:r>
      <w:r w:rsidR="00812F53">
        <w:rPr>
          <w:rFonts w:ascii="Arial" w:hAnsi="Arial" w:cs="Arial"/>
          <w:sz w:val="20"/>
          <w:szCs w:val="20"/>
        </w:rPr>
        <w:t>o</w:t>
      </w:r>
      <w:r w:rsidRPr="008F41CD">
        <w:rPr>
          <w:rFonts w:ascii="Arial" w:hAnsi="Arial" w:cs="Arial"/>
          <w:sz w:val="20"/>
          <w:szCs w:val="20"/>
        </w:rPr>
        <w:t xml:space="preserve">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xml:space="preserve">, ar </w:t>
      </w:r>
      <w:r w:rsidR="006A7CAA">
        <w:rPr>
          <w:rFonts w:ascii="Arial" w:hAnsi="Arial" w:cs="Arial"/>
          <w:b/>
          <w:sz w:val="20"/>
          <w:szCs w:val="20"/>
        </w:rPr>
        <w:t>p</w:t>
      </w:r>
      <w:r w:rsidRPr="008F41CD">
        <w:rPr>
          <w:rFonts w:ascii="Arial" w:hAnsi="Arial" w:cs="Arial"/>
          <w:b/>
          <w:sz w:val="20"/>
          <w:szCs w:val="20"/>
        </w:rPr>
        <w:t xml:space="preserve">asiūlyme yra konfidencialios informacijos ir kokia </w:t>
      </w:r>
      <w:r w:rsidR="006A7CAA">
        <w:rPr>
          <w:rFonts w:ascii="Arial" w:hAnsi="Arial" w:cs="Arial"/>
          <w:b/>
          <w:sz w:val="20"/>
          <w:szCs w:val="20"/>
        </w:rPr>
        <w:t>p</w:t>
      </w:r>
      <w:r w:rsidRPr="008F41CD">
        <w:rPr>
          <w:rFonts w:ascii="Arial" w:hAnsi="Arial" w:cs="Arial"/>
          <w:b/>
          <w:sz w:val="20"/>
          <w:szCs w:val="20"/>
        </w:rPr>
        <w:t>asiūlyme nurodyta informacija yra konfidenciali</w:t>
      </w:r>
      <w:r w:rsidRPr="008F41CD">
        <w:rPr>
          <w:rFonts w:ascii="Arial" w:hAnsi="Arial" w:cs="Arial"/>
          <w:sz w:val="20"/>
          <w:szCs w:val="20"/>
        </w:rPr>
        <w:t>.</w:t>
      </w:r>
      <w:r>
        <w:rPr>
          <w:rStyle w:val="FootnoteReference"/>
          <w:rFonts w:ascii="Arial" w:hAnsi="Arial" w:cs="Arial"/>
          <w:sz w:val="18"/>
          <w:szCs w:val="18"/>
        </w:rPr>
        <w:footnoteReference w:id="7"/>
      </w:r>
      <w:r w:rsidRPr="008F41CD">
        <w:rPr>
          <w:rFonts w:ascii="Arial" w:hAnsi="Arial" w:cs="Arial"/>
          <w:sz w:val="20"/>
          <w:szCs w:val="20"/>
        </w:rPr>
        <w:t xml:space="preserve"> </w:t>
      </w:r>
    </w:p>
    <w:tbl>
      <w:tblPr>
        <w:tblStyle w:val="TableGrid2"/>
        <w:tblW w:w="10486" w:type="dxa"/>
        <w:tblLook w:val="04A0" w:firstRow="1" w:lastRow="0" w:firstColumn="1" w:lastColumn="0" w:noHBand="0" w:noVBand="1"/>
      </w:tblPr>
      <w:tblGrid>
        <w:gridCol w:w="517"/>
        <w:gridCol w:w="2013"/>
        <w:gridCol w:w="1739"/>
        <w:gridCol w:w="6217"/>
      </w:tblGrid>
      <w:tr w:rsidR="00786D40" w:rsidRPr="008F41CD" w14:paraId="745106C7" w14:textId="63A62366" w:rsidTr="00EF0074">
        <w:trPr>
          <w:trHeight w:val="524"/>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109"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8"/>
            </w:r>
          </w:p>
        </w:tc>
        <w:tc>
          <w:tcPr>
            <w:tcW w:w="120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821"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EF0074">
        <w:trPr>
          <w:trHeight w:val="349"/>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109" w:type="dxa"/>
            <w:vAlign w:val="center"/>
          </w:tcPr>
          <w:p w14:paraId="2D61F17F" w14:textId="0FCE3ADA"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 xml:space="preserve">Jungtinės veiklos sutartis (jei </w:t>
            </w:r>
            <w:r w:rsidR="006A7CAA">
              <w:rPr>
                <w:rFonts w:ascii="Arial" w:hAnsi="Arial" w:cs="Arial"/>
                <w:sz w:val="20"/>
                <w:szCs w:val="20"/>
                <w:lang w:eastAsia="en-US"/>
              </w:rPr>
              <w:t>p</w:t>
            </w:r>
            <w:r w:rsidRPr="003B1940">
              <w:rPr>
                <w:rFonts w:ascii="Arial" w:hAnsi="Arial" w:cs="Arial"/>
                <w:sz w:val="20"/>
                <w:szCs w:val="20"/>
                <w:lang w:eastAsia="en-US"/>
              </w:rPr>
              <w:t>a</w:t>
            </w:r>
            <w:r w:rsidR="001635A5">
              <w:rPr>
                <w:rFonts w:ascii="Arial" w:hAnsi="Arial" w:cs="Arial"/>
                <w:sz w:val="20"/>
                <w:szCs w:val="20"/>
                <w:lang w:eastAsia="en-US"/>
              </w:rPr>
              <w:t>siūlymą</w:t>
            </w:r>
            <w:r w:rsidRPr="003B1940">
              <w:rPr>
                <w:rFonts w:ascii="Arial" w:hAnsi="Arial" w:cs="Arial"/>
                <w:sz w:val="20"/>
                <w:szCs w:val="20"/>
                <w:lang w:eastAsia="en-US"/>
              </w:rPr>
              <w:t xml:space="preserve"> pateikia </w:t>
            </w:r>
            <w:r w:rsidR="006A7CAA">
              <w:rPr>
                <w:rFonts w:ascii="Arial" w:hAnsi="Arial" w:cs="Arial"/>
                <w:sz w:val="20"/>
                <w:szCs w:val="20"/>
                <w:lang w:eastAsia="en-US"/>
              </w:rPr>
              <w:t>t</w:t>
            </w:r>
            <w:r w:rsidRPr="003B1940">
              <w:rPr>
                <w:rFonts w:ascii="Arial" w:hAnsi="Arial" w:cs="Arial"/>
                <w:sz w:val="20"/>
                <w:szCs w:val="20"/>
                <w:lang w:eastAsia="en-US"/>
              </w:rPr>
              <w:t>iekėjų grupė)</w:t>
            </w:r>
          </w:p>
        </w:tc>
        <w:tc>
          <w:tcPr>
            <w:tcW w:w="1209" w:type="dxa"/>
            <w:vAlign w:val="center"/>
          </w:tcPr>
          <w:p w14:paraId="217A61CA" w14:textId="46A80F9A" w:rsidR="00786D40" w:rsidRPr="00E973B7" w:rsidRDefault="00000000" w:rsidP="00EF0074">
            <w:pPr>
              <w:spacing w:before="60" w:after="60"/>
              <w:jc w:val="center"/>
              <w:rPr>
                <w:rFonts w:ascii="Arial" w:hAnsi="Arial" w:cs="Arial"/>
                <w:sz w:val="20"/>
                <w:szCs w:val="20"/>
                <w:lang w:eastAsia="en-US"/>
              </w:rPr>
            </w:pPr>
            <w:sdt>
              <w:sdtPr>
                <w:rPr>
                  <w:rStyle w:val="Laukeliai"/>
                </w:rPr>
                <w:id w:val="-782421129"/>
                <w:placeholder>
                  <w:docPart w:val="060B829C7A6142928A582F4826099B4E"/>
                </w:placeholder>
                <w:dropDownList>
                  <w:listItem w:displayText="Pasirinkite" w:value="Pasirinkite"/>
                  <w:listItem w:displayText="Taip" w:value="Taip"/>
                  <w:listItem w:displayText="Ne" w:value="Ne"/>
                  <w:listItem w:displayText="Neteikiama" w:value="Neteikiama"/>
                </w:dropDownList>
              </w:sdtPr>
              <w:sdtContent>
                <w:r w:rsidR="008573ED">
                  <w:rPr>
                    <w:rStyle w:val="Laukeliai"/>
                  </w:rPr>
                  <w:t>Neteikiama</w:t>
                </w:r>
              </w:sdtContent>
            </w:sdt>
          </w:p>
        </w:tc>
        <w:tc>
          <w:tcPr>
            <w:tcW w:w="6821"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71D3420A" w14:textId="6DCD2A5F" w:rsidR="00090891" w:rsidRPr="001C381B" w:rsidRDefault="00090891" w:rsidP="00090891">
      <w:pPr>
        <w:spacing w:before="60" w:after="60"/>
        <w:jc w:val="center"/>
        <w:rPr>
          <w:rFonts w:ascii="Arial" w:hAnsi="Arial" w:cs="Arial"/>
          <w:sz w:val="20"/>
          <w:szCs w:val="20"/>
        </w:rPr>
      </w:pPr>
      <w:r w:rsidRPr="001C381B">
        <w:rPr>
          <w:rFonts w:ascii="Arial" w:hAnsi="Arial" w:cs="Arial"/>
          <w:sz w:val="20"/>
          <w:szCs w:val="20"/>
        </w:rPr>
        <w:t>______________</w:t>
      </w:r>
      <w:r w:rsidR="008573ED" w:rsidRPr="008573ED">
        <w:rPr>
          <w:rFonts w:ascii="Arial" w:hAnsi="Arial" w:cs="Arial"/>
          <w:sz w:val="20"/>
          <w:szCs w:val="20"/>
          <w:u w:val="single"/>
        </w:rPr>
        <w:t xml:space="preserve"> </w:t>
      </w:r>
      <w:r w:rsidR="00FC4731">
        <w:rPr>
          <w:rFonts w:ascii="Arial" w:hAnsi="Arial" w:cs="Arial"/>
          <w:sz w:val="20"/>
          <w:szCs w:val="20"/>
          <w:u w:val="single"/>
        </w:rPr>
        <w:t>__________________________</w:t>
      </w:r>
      <w:r w:rsidRPr="001C381B">
        <w:rPr>
          <w:rFonts w:ascii="Arial" w:hAnsi="Arial" w:cs="Arial"/>
          <w:sz w:val="20"/>
          <w:szCs w:val="20"/>
        </w:rPr>
        <w:t>________________</w:t>
      </w:r>
    </w:p>
    <w:p w14:paraId="58D2183C" w14:textId="2DF62B67" w:rsidR="00A9670B" w:rsidRDefault="00090891" w:rsidP="009F6E07">
      <w:pPr>
        <w:spacing w:before="60" w:after="60" w:line="276" w:lineRule="auto"/>
        <w:jc w:val="center"/>
        <w:rPr>
          <w:rFonts w:ascii="Arial" w:hAnsi="Arial" w:cs="Arial"/>
          <w:sz w:val="20"/>
          <w:szCs w:val="20"/>
        </w:rPr>
      </w:pPr>
      <w:r w:rsidRPr="001C381B">
        <w:rPr>
          <w:rFonts w:ascii="Arial" w:hAnsi="Arial" w:cs="Arial"/>
          <w:sz w:val="20"/>
          <w:szCs w:val="20"/>
        </w:rPr>
        <w:t>(Tiekėjo arba jo įgalioto asmens pareigos, vardas, pavardė, parašas)</w:t>
      </w:r>
      <w:bookmarkEnd w:id="1"/>
    </w:p>
    <w:p w14:paraId="57EBE63C" w14:textId="08A09E2C" w:rsidR="008427B3" w:rsidRDefault="008427B3">
      <w:pPr>
        <w:spacing w:after="200" w:line="276" w:lineRule="auto"/>
        <w:rPr>
          <w:rFonts w:ascii="Arial" w:hAnsi="Arial" w:cs="Arial"/>
          <w:sz w:val="20"/>
          <w:szCs w:val="20"/>
        </w:rPr>
      </w:pPr>
    </w:p>
    <w:sectPr w:rsidR="008427B3" w:rsidSect="00EF0074">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C7154" w14:textId="77777777" w:rsidR="0049293D" w:rsidRDefault="0049293D" w:rsidP="0043350F">
      <w:r>
        <w:separator/>
      </w:r>
    </w:p>
  </w:endnote>
  <w:endnote w:type="continuationSeparator" w:id="0">
    <w:p w14:paraId="3C7D0852" w14:textId="77777777" w:rsidR="0049293D" w:rsidRDefault="0049293D" w:rsidP="0043350F">
      <w:r>
        <w:continuationSeparator/>
      </w:r>
    </w:p>
  </w:endnote>
  <w:endnote w:type="continuationNotice" w:id="1">
    <w:p w14:paraId="71612A1E" w14:textId="77777777" w:rsidR="0049293D" w:rsidRDefault="004929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5DC5" w14:textId="77777777" w:rsidR="00B07D19" w:rsidRDefault="00B07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67E7" w14:textId="77777777" w:rsidR="00B07D19" w:rsidRDefault="00B07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2788" w14:textId="77777777" w:rsidR="00B07D19" w:rsidRDefault="00B07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A5CDB" w14:textId="77777777" w:rsidR="0049293D" w:rsidRDefault="0049293D" w:rsidP="0043350F">
      <w:r>
        <w:separator/>
      </w:r>
    </w:p>
  </w:footnote>
  <w:footnote w:type="continuationSeparator" w:id="0">
    <w:p w14:paraId="2B7571A5" w14:textId="77777777" w:rsidR="0049293D" w:rsidRDefault="0049293D" w:rsidP="0043350F">
      <w:r>
        <w:continuationSeparator/>
      </w:r>
    </w:p>
  </w:footnote>
  <w:footnote w:type="continuationNotice" w:id="1">
    <w:p w14:paraId="2E5FC92A" w14:textId="77777777" w:rsidR="0049293D" w:rsidRDefault="0049293D"/>
  </w:footnote>
  <w:footnote w:id="2">
    <w:p w14:paraId="462A9374" w14:textId="77777777" w:rsidR="00C71786" w:rsidRDefault="00C71786" w:rsidP="008A497C">
      <w:pPr>
        <w:pStyle w:val="FootnoteText"/>
        <w:jc w:val="both"/>
      </w:pPr>
      <w:r>
        <w:rPr>
          <w:rStyle w:val="FootnoteReference"/>
        </w:rPr>
        <w:footnoteRef/>
      </w:r>
      <w:r>
        <w:t xml:space="preserve"> </w:t>
      </w:r>
      <w:r w:rsidRPr="00FD7871">
        <w:rPr>
          <w:rFonts w:ascii="Arial" w:eastAsiaTheme="minorHAnsi" w:hAnsi="Arial" w:cs="Arial"/>
          <w:sz w:val="16"/>
          <w:szCs w:val="16"/>
        </w:rPr>
        <w:t>Nurodomas konkretus Subtiekėjo pavadinimas, jei žinomas Pa</w:t>
      </w:r>
      <w:r>
        <w:rPr>
          <w:rFonts w:ascii="Arial" w:eastAsiaTheme="minorHAnsi" w:hAnsi="Arial" w:cs="Arial"/>
          <w:sz w:val="16"/>
          <w:szCs w:val="16"/>
        </w:rPr>
        <w:t>siūlymų</w:t>
      </w:r>
      <w:r w:rsidRPr="00FD7871">
        <w:rPr>
          <w:rFonts w:ascii="Arial" w:eastAsiaTheme="minorHAnsi" w:hAnsi="Arial" w:cs="Arial"/>
          <w:sz w:val="16"/>
          <w:szCs w:val="16"/>
        </w:rPr>
        <w:t xml:space="preserve"> pateikimo metu. Jei ketinama pasitelkti, tačiau konkretus pavadinimas nėra žinomas, nurodoma „Nežinomas“.</w:t>
      </w:r>
      <w:r>
        <w:rPr>
          <w:rFonts w:ascii="Arial" w:eastAsiaTheme="minorHAnsi" w:hAnsi="Arial" w:cs="Arial"/>
          <w:sz w:val="16"/>
          <w:szCs w:val="16"/>
        </w:rPr>
        <w:t xml:space="preserve"> </w:t>
      </w:r>
      <w:r w:rsidRPr="00C04B76">
        <w:rPr>
          <w:rFonts w:ascii="Arial" w:hAnsi="Arial" w:cs="Arial"/>
          <w:sz w:val="16"/>
          <w:szCs w:val="16"/>
        </w:rPr>
        <w:t>Jei konkretus Subtiekėjas nėra žinomas Pa</w:t>
      </w:r>
      <w:r>
        <w:rPr>
          <w:rFonts w:ascii="Arial" w:hAnsi="Arial" w:cs="Arial"/>
          <w:sz w:val="16"/>
          <w:szCs w:val="16"/>
        </w:rPr>
        <w:t>siūlymo</w:t>
      </w:r>
      <w:r w:rsidRPr="00C04B76">
        <w:rPr>
          <w:rFonts w:ascii="Arial" w:hAnsi="Arial" w:cs="Arial"/>
          <w:sz w:val="16"/>
          <w:szCs w:val="16"/>
        </w:rPr>
        <w:t xml:space="preserve"> pateikimo metu, </w:t>
      </w:r>
      <w:r w:rsidRPr="00C04B76">
        <w:rPr>
          <w:rFonts w:ascii="Arial" w:hAnsi="Arial" w:cs="Arial"/>
          <w:b/>
          <w:bCs/>
          <w:sz w:val="16"/>
          <w:szCs w:val="16"/>
        </w:rPr>
        <w:t>Tiekėjas patvirtina, kad Sutarties vykdymui bus pasitelkiami tik tokie Subtiekėjai, kurie neatitiks nei vienos iš VPĮ 45 straipsnio 2</w:t>
      </w:r>
      <w:r w:rsidRPr="00C04B76">
        <w:rPr>
          <w:rFonts w:ascii="Arial" w:hAnsi="Arial" w:cs="Arial"/>
          <w:b/>
          <w:bCs/>
          <w:sz w:val="16"/>
          <w:szCs w:val="16"/>
          <w:vertAlign w:val="superscript"/>
        </w:rPr>
        <w:t>1</w:t>
      </w:r>
      <w:r w:rsidRPr="00C04B76">
        <w:rPr>
          <w:rFonts w:ascii="Arial" w:hAnsi="Arial" w:cs="Arial"/>
          <w:b/>
          <w:bCs/>
          <w:sz w:val="16"/>
          <w:szCs w:val="16"/>
        </w:rPr>
        <w:t xml:space="preserve"> dalyje / PĮ  58 straipsnio 4</w:t>
      </w:r>
      <w:r w:rsidRPr="00C04B76">
        <w:rPr>
          <w:rFonts w:ascii="Arial" w:hAnsi="Arial" w:cs="Arial"/>
          <w:b/>
          <w:bCs/>
          <w:sz w:val="16"/>
          <w:szCs w:val="16"/>
          <w:vertAlign w:val="superscript"/>
        </w:rPr>
        <w:t>1</w:t>
      </w:r>
      <w:r w:rsidRPr="00C04B76">
        <w:rPr>
          <w:rFonts w:ascii="Arial" w:hAnsi="Arial" w:cs="Arial"/>
          <w:b/>
          <w:bCs/>
          <w:sz w:val="16"/>
          <w:szCs w:val="16"/>
        </w:rPr>
        <w:t xml:space="preserve"> dalyje nustatytų sąlygų.</w:t>
      </w:r>
    </w:p>
  </w:footnote>
  <w:footnote w:id="3">
    <w:p w14:paraId="6863DC6B" w14:textId="77777777" w:rsidR="004116A9" w:rsidRDefault="004116A9" w:rsidP="00317265">
      <w:pPr>
        <w:pStyle w:val="FootnoteText"/>
        <w:jc w:val="both"/>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Pasiūlymo kaina EUR be PVM turi apimti visas išlaidas, visus mokesčius, išskyrus PVM mokestį, mokėtinus pagal galiojančius Lietuvos Respublikos įstatymus, įskaitant sąskaitų pateikimo kaštus per „E. sąskaita“ sistemą.</w:t>
      </w:r>
    </w:p>
  </w:footnote>
  <w:footnote w:id="4">
    <w:p w14:paraId="7DA2C37D" w14:textId="74D414EF" w:rsidR="00B07D19" w:rsidRPr="009202C3" w:rsidRDefault="00B07D19" w:rsidP="00EF0074">
      <w:pPr>
        <w:pStyle w:val="FootnoteText"/>
        <w:jc w:val="both"/>
        <w:rPr>
          <w:sz w:val="17"/>
          <w:szCs w:val="17"/>
        </w:rPr>
      </w:pPr>
      <w:r w:rsidRPr="00BD091C">
        <w:rPr>
          <w:rStyle w:val="FootnoteReference"/>
          <w:rFonts w:ascii="Arial" w:hAnsi="Arial" w:cs="Arial"/>
          <w:sz w:val="16"/>
          <w:szCs w:val="16"/>
        </w:rPr>
        <w:footnoteRef/>
      </w:r>
      <w:r w:rsidRPr="00BD091C">
        <w:rPr>
          <w:rFonts w:ascii="Arial" w:hAnsi="Arial" w:cs="Arial"/>
          <w:sz w:val="16"/>
          <w:szCs w:val="16"/>
        </w:rPr>
        <w:t xml:space="preserve"> Tiekėjo siūlomos </w:t>
      </w:r>
      <w:r w:rsidR="006A7CAA">
        <w:rPr>
          <w:rFonts w:ascii="Arial" w:hAnsi="Arial" w:cs="Arial"/>
          <w:sz w:val="16"/>
          <w:szCs w:val="16"/>
        </w:rPr>
        <w:t>p</w:t>
      </w:r>
      <w:r w:rsidRPr="00BD091C">
        <w:rPr>
          <w:rFonts w:ascii="Arial" w:hAnsi="Arial" w:cs="Arial"/>
          <w:sz w:val="16"/>
          <w:szCs w:val="16"/>
        </w:rPr>
        <w:t>erskaičiavimo taisyklės turi atitikti Pirkimo sąlygų 4 skyriaus nuostatas.</w:t>
      </w:r>
    </w:p>
  </w:footnote>
  <w:footnote w:id="5">
    <w:p w14:paraId="1DDDABA5" w14:textId="1DFAEA80" w:rsidR="000D30DC" w:rsidRPr="00053D45" w:rsidRDefault="000D30DC" w:rsidP="008239A6">
      <w:pPr>
        <w:pStyle w:val="FootnoteText"/>
        <w:jc w:val="both"/>
        <w:rPr>
          <w:rFonts w:ascii="Arial" w:hAnsi="Arial" w:cs="Arial"/>
        </w:rPr>
      </w:pPr>
      <w:r w:rsidRPr="008F41CD">
        <w:rPr>
          <w:rStyle w:val="FootnoteReference"/>
          <w:rFonts w:ascii="Arial" w:hAnsi="Arial" w:cs="Arial"/>
          <w:sz w:val="18"/>
          <w:szCs w:val="18"/>
        </w:rPr>
        <w:footnoteRef/>
      </w:r>
      <w:r w:rsidRPr="008F41CD">
        <w:rPr>
          <w:rFonts w:ascii="Arial" w:hAnsi="Arial" w:cs="Arial"/>
          <w:sz w:val="18"/>
          <w:szCs w:val="18"/>
        </w:rPr>
        <w:t xml:space="preserve"> </w:t>
      </w:r>
      <w:r w:rsidRPr="009F6E07">
        <w:rPr>
          <w:rFonts w:ascii="Arial" w:hAnsi="Arial" w:cs="Arial"/>
          <w:sz w:val="16"/>
          <w:szCs w:val="16"/>
        </w:rPr>
        <w:t xml:space="preserve">Jei </w:t>
      </w:r>
      <w:r w:rsidR="006A7CAA">
        <w:rPr>
          <w:rFonts w:ascii="Arial" w:hAnsi="Arial" w:cs="Arial"/>
          <w:sz w:val="16"/>
          <w:szCs w:val="16"/>
        </w:rPr>
        <w:t>p</w:t>
      </w:r>
      <w:r w:rsidRPr="009F6E07">
        <w:rPr>
          <w:rFonts w:ascii="Arial" w:hAnsi="Arial" w:cs="Arial"/>
          <w:sz w:val="16"/>
          <w:szCs w:val="16"/>
        </w:rPr>
        <w:t xml:space="preserve">asiūlymą </w:t>
      </w:r>
      <w:r w:rsidR="006A7CAA">
        <w:rPr>
          <w:rFonts w:ascii="Arial" w:hAnsi="Arial" w:cs="Arial"/>
          <w:sz w:val="16"/>
          <w:szCs w:val="16"/>
        </w:rPr>
        <w:t>p</w:t>
      </w:r>
      <w:r w:rsidRPr="009F6E07">
        <w:rPr>
          <w:rFonts w:ascii="Arial" w:hAnsi="Arial" w:cs="Arial"/>
          <w:sz w:val="16"/>
          <w:szCs w:val="16"/>
        </w:rPr>
        <w:t xml:space="preserve">irkimui pasirašo vadovo įgaliotas asmuo, prie </w:t>
      </w:r>
      <w:r w:rsidR="006A7CAA">
        <w:rPr>
          <w:rFonts w:ascii="Arial" w:hAnsi="Arial" w:cs="Arial"/>
          <w:sz w:val="16"/>
          <w:szCs w:val="16"/>
        </w:rPr>
        <w:t>p</w:t>
      </w:r>
      <w:r w:rsidRPr="009F6E07">
        <w:rPr>
          <w:rFonts w:ascii="Arial" w:hAnsi="Arial" w:cs="Arial"/>
          <w:sz w:val="16"/>
          <w:szCs w:val="16"/>
        </w:rPr>
        <w:t>asiūlymo turi būti pridėtas rašytinis įgaliojimas arba kitas dokumentas, suteikiantis parašo teisę.</w:t>
      </w:r>
    </w:p>
  </w:footnote>
  <w:footnote w:id="6">
    <w:p w14:paraId="2A907C51" w14:textId="0F64267D" w:rsidR="00786D40" w:rsidRPr="007D2C0E" w:rsidRDefault="00786D40" w:rsidP="00090891">
      <w:pPr>
        <w:pStyle w:val="FootnoteText"/>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7">
    <w:p w14:paraId="29C61B1D" w14:textId="6FD09482"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Lentelėje žemiau pateikiama informacija apie Pasiūlyme nurodytos informacijos konfidencialumą. </w:t>
      </w:r>
      <w:r w:rsidR="00EF0074">
        <w:rPr>
          <w:rFonts w:ascii="Arial" w:hAnsi="Arial" w:cs="Arial"/>
          <w:iCs/>
          <w:sz w:val="16"/>
          <w:szCs w:val="16"/>
        </w:rPr>
        <w:t>Tiekėjas</w:t>
      </w:r>
      <w:r w:rsidRPr="007D2C0E">
        <w:rPr>
          <w:rFonts w:ascii="Arial" w:hAnsi="Arial" w:cs="Arial"/>
          <w:iCs/>
          <w:sz w:val="16"/>
          <w:szCs w:val="16"/>
        </w:rPr>
        <w:t xml:space="preserve"> privalo nurodyti, ar jo </w:t>
      </w:r>
      <w:r w:rsidR="006A7CAA">
        <w:rPr>
          <w:rFonts w:ascii="Arial" w:hAnsi="Arial" w:cs="Arial"/>
          <w:iCs/>
          <w:sz w:val="16"/>
          <w:szCs w:val="16"/>
        </w:rPr>
        <w:t>p</w:t>
      </w:r>
      <w:r w:rsidRPr="007D2C0E">
        <w:rPr>
          <w:rFonts w:ascii="Arial" w:hAnsi="Arial" w:cs="Arial"/>
          <w:iCs/>
          <w:sz w:val="16"/>
          <w:szCs w:val="16"/>
        </w:rPr>
        <w:t xml:space="preserve">asiūlyme yra konfidencialios informacijos, ir kuri </w:t>
      </w:r>
      <w:r w:rsidR="006A7CAA">
        <w:rPr>
          <w:rFonts w:ascii="Arial" w:hAnsi="Arial" w:cs="Arial"/>
          <w:iCs/>
          <w:sz w:val="16"/>
          <w:szCs w:val="16"/>
        </w:rPr>
        <w:t>p</w:t>
      </w:r>
      <w:r w:rsidRPr="007D2C0E">
        <w:rPr>
          <w:rFonts w:ascii="Arial" w:hAnsi="Arial" w:cs="Arial"/>
          <w:iCs/>
          <w:sz w:val="16"/>
          <w:szCs w:val="16"/>
        </w:rPr>
        <w:t xml:space="preserve">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6A7CAA">
        <w:rPr>
          <w:rFonts w:ascii="Arial" w:hAnsi="Arial" w:cs="Arial"/>
          <w:iCs/>
          <w:sz w:val="16"/>
          <w:szCs w:val="16"/>
        </w:rPr>
        <w:t>t</w:t>
      </w:r>
      <w:r w:rsidR="00EF0074">
        <w:rPr>
          <w:rFonts w:ascii="Arial" w:hAnsi="Arial" w:cs="Arial"/>
          <w:iCs/>
          <w:sz w:val="16"/>
          <w:szCs w:val="16"/>
        </w:rPr>
        <w:t>iekėjo</w:t>
      </w:r>
      <w:r w:rsidRPr="007D2C0E">
        <w:rPr>
          <w:rFonts w:ascii="Arial" w:hAnsi="Arial" w:cs="Arial"/>
          <w:iCs/>
          <w:sz w:val="16"/>
          <w:szCs w:val="16"/>
        </w:rPr>
        <w:t xml:space="preserve"> </w:t>
      </w:r>
      <w:r w:rsidR="006A7CAA">
        <w:rPr>
          <w:rFonts w:ascii="Arial" w:hAnsi="Arial" w:cs="Arial"/>
          <w:iCs/>
          <w:sz w:val="16"/>
          <w:szCs w:val="16"/>
        </w:rPr>
        <w:t>p</w:t>
      </w:r>
      <w:r w:rsidRPr="007D2C0E">
        <w:rPr>
          <w:rFonts w:ascii="Arial" w:hAnsi="Arial" w:cs="Arial"/>
          <w:iCs/>
          <w:sz w:val="16"/>
          <w:szCs w:val="16"/>
        </w:rPr>
        <w:t>asiūlymas negali būti laikomas konfidencialia informacija</w:t>
      </w:r>
      <w:r w:rsidRPr="007D2C0E">
        <w:rPr>
          <w:rFonts w:ascii="Arial" w:hAnsi="Arial" w:cs="Arial"/>
          <w:bCs/>
          <w:iCs/>
          <w:sz w:val="16"/>
          <w:szCs w:val="16"/>
        </w:rPr>
        <w:t>.</w:t>
      </w:r>
    </w:p>
  </w:footnote>
  <w:footnote w:id="8">
    <w:p w14:paraId="300B0293" w14:textId="77777777" w:rsidR="00786D40" w:rsidRPr="00DE4459" w:rsidRDefault="00786D40" w:rsidP="00090891">
      <w:pPr>
        <w:pStyle w:val="FootnoteText"/>
        <w:jc w:val="both"/>
        <w:rPr>
          <w:rFonts w:ascii="Arial" w:hAnsi="Arial" w:cs="Arial"/>
          <w:sz w:val="18"/>
          <w:szCs w:val="18"/>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239D" w14:textId="368F423A" w:rsidR="00B07D19" w:rsidRDefault="00B07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F30B" w14:textId="5E1A9C99" w:rsidR="000D30DC" w:rsidRPr="00035043" w:rsidRDefault="000D30DC" w:rsidP="006C7BE2">
    <w:pPr>
      <w:spacing w:before="60" w:after="60"/>
      <w:jc w:val="right"/>
      <w:rPr>
        <w:rFonts w:ascii="Arial" w:hAnsi="Arial" w:cs="Arial"/>
        <w:sz w:val="22"/>
        <w:szCs w:val="22"/>
      </w:rPr>
    </w:pP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3934" w14:textId="53EB13D7" w:rsidR="000D30DC" w:rsidRPr="00035043" w:rsidRDefault="000D30DC" w:rsidP="00F47E4F">
    <w:pPr>
      <w:spacing w:before="60" w:after="60"/>
      <w:ind w:left="5760"/>
      <w:jc w:val="right"/>
      <w:rPr>
        <w:rFonts w:ascii="Arial" w:hAnsi="Arial" w:cs="Arial"/>
        <w:sz w:val="22"/>
        <w:szCs w:val="22"/>
      </w:rPr>
    </w:pP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0" w15:restartNumberingAfterBreak="0">
    <w:nsid w:val="72DC29E7"/>
    <w:multiLevelType w:val="multilevel"/>
    <w:tmpl w:val="58E4BCDC"/>
    <w:lvl w:ilvl="0">
      <w:start w:val="1"/>
      <w:numFmt w:val="decimal"/>
      <w:lvlText w:val="%1."/>
      <w:lvlJc w:val="left"/>
      <w:pPr>
        <w:ind w:left="720" w:hanging="360"/>
      </w:pPr>
      <w:rPr>
        <w:rFonts w:hint="default"/>
      </w:rPr>
    </w:lvl>
    <w:lvl w:ilvl="1">
      <w:start w:val="1"/>
      <w:numFmt w:val="decimal"/>
      <w:lvlText w:val="%1.%2"/>
      <w:lvlJc w:val="left"/>
      <w:pPr>
        <w:ind w:left="720" w:hanging="360"/>
      </w:pPr>
      <w:rPr>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986206341">
    <w:abstractNumId w:val="14"/>
  </w:num>
  <w:num w:numId="2" w16cid:durableId="757799116">
    <w:abstractNumId w:val="17"/>
  </w:num>
  <w:num w:numId="3" w16cid:durableId="1341467864">
    <w:abstractNumId w:val="9"/>
  </w:num>
  <w:num w:numId="4" w16cid:durableId="612978504">
    <w:abstractNumId w:val="4"/>
  </w:num>
  <w:num w:numId="5" w16cid:durableId="871459683">
    <w:abstractNumId w:val="1"/>
  </w:num>
  <w:num w:numId="6" w16cid:durableId="998920783">
    <w:abstractNumId w:val="19"/>
  </w:num>
  <w:num w:numId="7" w16cid:durableId="1399279808">
    <w:abstractNumId w:val="5"/>
  </w:num>
  <w:num w:numId="8" w16cid:durableId="1637294860">
    <w:abstractNumId w:val="16"/>
  </w:num>
  <w:num w:numId="9" w16cid:durableId="1087577503">
    <w:abstractNumId w:val="13"/>
  </w:num>
  <w:num w:numId="10" w16cid:durableId="1796409011">
    <w:abstractNumId w:val="18"/>
  </w:num>
  <w:num w:numId="11" w16cid:durableId="747003074">
    <w:abstractNumId w:val="2"/>
  </w:num>
  <w:num w:numId="12" w16cid:durableId="479003833">
    <w:abstractNumId w:val="19"/>
  </w:num>
  <w:num w:numId="13" w16cid:durableId="1202089205">
    <w:abstractNumId w:val="21"/>
  </w:num>
  <w:num w:numId="14" w16cid:durableId="1275206549">
    <w:abstractNumId w:val="8"/>
  </w:num>
  <w:num w:numId="15" w16cid:durableId="1563179600">
    <w:abstractNumId w:val="7"/>
  </w:num>
  <w:num w:numId="16" w16cid:durableId="1100178798">
    <w:abstractNumId w:val="15"/>
  </w:num>
  <w:num w:numId="17" w16cid:durableId="102850801">
    <w:abstractNumId w:val="11"/>
  </w:num>
  <w:num w:numId="18" w16cid:durableId="1113331373">
    <w:abstractNumId w:val="22"/>
  </w:num>
  <w:num w:numId="19" w16cid:durableId="2070301699">
    <w:abstractNumId w:val="12"/>
  </w:num>
  <w:num w:numId="20" w16cid:durableId="33577148">
    <w:abstractNumId w:val="6"/>
  </w:num>
  <w:num w:numId="21" w16cid:durableId="1430197594">
    <w:abstractNumId w:val="10"/>
  </w:num>
  <w:num w:numId="22" w16cid:durableId="1455247455">
    <w:abstractNumId w:val="0"/>
  </w:num>
  <w:num w:numId="23" w16cid:durableId="1511598846">
    <w:abstractNumId w:val="3"/>
  </w:num>
  <w:num w:numId="24" w16cid:durableId="3847167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73259841">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0663"/>
    <w:rsid w:val="0001189D"/>
    <w:rsid w:val="0001270A"/>
    <w:rsid w:val="00015607"/>
    <w:rsid w:val="00017515"/>
    <w:rsid w:val="00017D5E"/>
    <w:rsid w:val="00024E66"/>
    <w:rsid w:val="000251B9"/>
    <w:rsid w:val="0004149A"/>
    <w:rsid w:val="00042BD4"/>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4A08"/>
    <w:rsid w:val="000A6664"/>
    <w:rsid w:val="000A6785"/>
    <w:rsid w:val="000A6D13"/>
    <w:rsid w:val="000A7899"/>
    <w:rsid w:val="000B42F1"/>
    <w:rsid w:val="000C0096"/>
    <w:rsid w:val="000C1874"/>
    <w:rsid w:val="000C5DA3"/>
    <w:rsid w:val="000C60F6"/>
    <w:rsid w:val="000C6644"/>
    <w:rsid w:val="000D068D"/>
    <w:rsid w:val="000D0EC0"/>
    <w:rsid w:val="000D0FE4"/>
    <w:rsid w:val="000D1EA7"/>
    <w:rsid w:val="000D27FC"/>
    <w:rsid w:val="000D2C96"/>
    <w:rsid w:val="000D30DC"/>
    <w:rsid w:val="000D3B3B"/>
    <w:rsid w:val="000D3FC3"/>
    <w:rsid w:val="000D4903"/>
    <w:rsid w:val="000E01F4"/>
    <w:rsid w:val="000E02E7"/>
    <w:rsid w:val="000E0F27"/>
    <w:rsid w:val="000E1FEF"/>
    <w:rsid w:val="000E22E5"/>
    <w:rsid w:val="000E4388"/>
    <w:rsid w:val="000E554A"/>
    <w:rsid w:val="000E5874"/>
    <w:rsid w:val="000E6C83"/>
    <w:rsid w:val="000F0995"/>
    <w:rsid w:val="000F2EB9"/>
    <w:rsid w:val="000F30B1"/>
    <w:rsid w:val="000F3E7E"/>
    <w:rsid w:val="000F5D6F"/>
    <w:rsid w:val="00101055"/>
    <w:rsid w:val="001019B6"/>
    <w:rsid w:val="00106F94"/>
    <w:rsid w:val="001077EF"/>
    <w:rsid w:val="00110B68"/>
    <w:rsid w:val="00111427"/>
    <w:rsid w:val="0011182F"/>
    <w:rsid w:val="00114C10"/>
    <w:rsid w:val="00114E7A"/>
    <w:rsid w:val="00123080"/>
    <w:rsid w:val="00123254"/>
    <w:rsid w:val="00131304"/>
    <w:rsid w:val="0013167D"/>
    <w:rsid w:val="00134583"/>
    <w:rsid w:val="00134CCF"/>
    <w:rsid w:val="00145CAB"/>
    <w:rsid w:val="00146302"/>
    <w:rsid w:val="00147F86"/>
    <w:rsid w:val="0015703D"/>
    <w:rsid w:val="001635A5"/>
    <w:rsid w:val="0016370C"/>
    <w:rsid w:val="00164ACF"/>
    <w:rsid w:val="00166A95"/>
    <w:rsid w:val="00171476"/>
    <w:rsid w:val="00171842"/>
    <w:rsid w:val="001728D6"/>
    <w:rsid w:val="001738B1"/>
    <w:rsid w:val="00175B88"/>
    <w:rsid w:val="00177962"/>
    <w:rsid w:val="0018284C"/>
    <w:rsid w:val="00182B70"/>
    <w:rsid w:val="00182DFF"/>
    <w:rsid w:val="00191F5F"/>
    <w:rsid w:val="001921A0"/>
    <w:rsid w:val="00197707"/>
    <w:rsid w:val="001977B4"/>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844"/>
    <w:rsid w:val="001B7EE5"/>
    <w:rsid w:val="001C36CC"/>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2C65"/>
    <w:rsid w:val="00235697"/>
    <w:rsid w:val="00235AE9"/>
    <w:rsid w:val="00235FCC"/>
    <w:rsid w:val="002444C2"/>
    <w:rsid w:val="00244C94"/>
    <w:rsid w:val="00245C68"/>
    <w:rsid w:val="00247184"/>
    <w:rsid w:val="0025055D"/>
    <w:rsid w:val="002525CA"/>
    <w:rsid w:val="00252C3F"/>
    <w:rsid w:val="00262B42"/>
    <w:rsid w:val="00266D18"/>
    <w:rsid w:val="00267782"/>
    <w:rsid w:val="00267A98"/>
    <w:rsid w:val="00273F3A"/>
    <w:rsid w:val="00275EF3"/>
    <w:rsid w:val="00280EB1"/>
    <w:rsid w:val="0028142D"/>
    <w:rsid w:val="002816A7"/>
    <w:rsid w:val="00281DA9"/>
    <w:rsid w:val="002867D9"/>
    <w:rsid w:val="002915C3"/>
    <w:rsid w:val="0029279C"/>
    <w:rsid w:val="00293D7C"/>
    <w:rsid w:val="002950FB"/>
    <w:rsid w:val="002970F6"/>
    <w:rsid w:val="002A23C8"/>
    <w:rsid w:val="002A5C20"/>
    <w:rsid w:val="002B0323"/>
    <w:rsid w:val="002B0EA3"/>
    <w:rsid w:val="002B2759"/>
    <w:rsid w:val="002B450F"/>
    <w:rsid w:val="002B51EF"/>
    <w:rsid w:val="002B5469"/>
    <w:rsid w:val="002B5C1E"/>
    <w:rsid w:val="002C06D5"/>
    <w:rsid w:val="002C43C7"/>
    <w:rsid w:val="002C51F2"/>
    <w:rsid w:val="002C6E9F"/>
    <w:rsid w:val="002D0368"/>
    <w:rsid w:val="002D4057"/>
    <w:rsid w:val="002D4269"/>
    <w:rsid w:val="002D433A"/>
    <w:rsid w:val="002D6CE2"/>
    <w:rsid w:val="002D6F8B"/>
    <w:rsid w:val="002E0780"/>
    <w:rsid w:val="002E0B96"/>
    <w:rsid w:val="002E0EAA"/>
    <w:rsid w:val="002E1069"/>
    <w:rsid w:val="002E51CA"/>
    <w:rsid w:val="002E5351"/>
    <w:rsid w:val="002E55E0"/>
    <w:rsid w:val="002E6764"/>
    <w:rsid w:val="002F104D"/>
    <w:rsid w:val="002F643C"/>
    <w:rsid w:val="003007E8"/>
    <w:rsid w:val="003018E4"/>
    <w:rsid w:val="00304AC4"/>
    <w:rsid w:val="003065C4"/>
    <w:rsid w:val="00310204"/>
    <w:rsid w:val="00311FAD"/>
    <w:rsid w:val="003125A3"/>
    <w:rsid w:val="003130A9"/>
    <w:rsid w:val="00315ECA"/>
    <w:rsid w:val="00317265"/>
    <w:rsid w:val="00317B50"/>
    <w:rsid w:val="00321062"/>
    <w:rsid w:val="0032172E"/>
    <w:rsid w:val="003218D6"/>
    <w:rsid w:val="0032744F"/>
    <w:rsid w:val="00327B8D"/>
    <w:rsid w:val="00332A69"/>
    <w:rsid w:val="003343C5"/>
    <w:rsid w:val="00336548"/>
    <w:rsid w:val="00343A3B"/>
    <w:rsid w:val="0034486C"/>
    <w:rsid w:val="0034530B"/>
    <w:rsid w:val="00352FD1"/>
    <w:rsid w:val="00353949"/>
    <w:rsid w:val="00353F45"/>
    <w:rsid w:val="003548AC"/>
    <w:rsid w:val="00355DEC"/>
    <w:rsid w:val="0035686E"/>
    <w:rsid w:val="00356DDD"/>
    <w:rsid w:val="00360434"/>
    <w:rsid w:val="003611C8"/>
    <w:rsid w:val="00363CBF"/>
    <w:rsid w:val="00364788"/>
    <w:rsid w:val="003656D2"/>
    <w:rsid w:val="003667DC"/>
    <w:rsid w:val="00370363"/>
    <w:rsid w:val="0037064F"/>
    <w:rsid w:val="00371C3A"/>
    <w:rsid w:val="0037338A"/>
    <w:rsid w:val="003736E5"/>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001C"/>
    <w:rsid w:val="003A03CA"/>
    <w:rsid w:val="003A2A0E"/>
    <w:rsid w:val="003A565A"/>
    <w:rsid w:val="003A598E"/>
    <w:rsid w:val="003A5E85"/>
    <w:rsid w:val="003A62EC"/>
    <w:rsid w:val="003B125F"/>
    <w:rsid w:val="003B18DD"/>
    <w:rsid w:val="003B6C66"/>
    <w:rsid w:val="003B6C73"/>
    <w:rsid w:val="003C0D72"/>
    <w:rsid w:val="003C277F"/>
    <w:rsid w:val="003C551D"/>
    <w:rsid w:val="003C5529"/>
    <w:rsid w:val="003C6502"/>
    <w:rsid w:val="003D01A7"/>
    <w:rsid w:val="003E213A"/>
    <w:rsid w:val="003E391C"/>
    <w:rsid w:val="003E5112"/>
    <w:rsid w:val="003E6044"/>
    <w:rsid w:val="003E6387"/>
    <w:rsid w:val="003F0AE3"/>
    <w:rsid w:val="003F1089"/>
    <w:rsid w:val="003F27C7"/>
    <w:rsid w:val="003F2E6A"/>
    <w:rsid w:val="003F5FD3"/>
    <w:rsid w:val="003F6684"/>
    <w:rsid w:val="00402E05"/>
    <w:rsid w:val="00410AB1"/>
    <w:rsid w:val="004116A9"/>
    <w:rsid w:val="00413C7C"/>
    <w:rsid w:val="004215C6"/>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56194"/>
    <w:rsid w:val="00461CC5"/>
    <w:rsid w:val="00462A26"/>
    <w:rsid w:val="00463F5E"/>
    <w:rsid w:val="00475740"/>
    <w:rsid w:val="00477F7A"/>
    <w:rsid w:val="00483CEB"/>
    <w:rsid w:val="00484216"/>
    <w:rsid w:val="004846EF"/>
    <w:rsid w:val="004868BF"/>
    <w:rsid w:val="00486B7C"/>
    <w:rsid w:val="00486FF3"/>
    <w:rsid w:val="004903E5"/>
    <w:rsid w:val="00491FC3"/>
    <w:rsid w:val="0049293D"/>
    <w:rsid w:val="00495917"/>
    <w:rsid w:val="00496E01"/>
    <w:rsid w:val="00497684"/>
    <w:rsid w:val="004976FB"/>
    <w:rsid w:val="00497BE4"/>
    <w:rsid w:val="004A155D"/>
    <w:rsid w:val="004A755D"/>
    <w:rsid w:val="004B0C88"/>
    <w:rsid w:val="004B0C9B"/>
    <w:rsid w:val="004B0D69"/>
    <w:rsid w:val="004B4EF9"/>
    <w:rsid w:val="004B6320"/>
    <w:rsid w:val="004B7A2D"/>
    <w:rsid w:val="004C2345"/>
    <w:rsid w:val="004C28C4"/>
    <w:rsid w:val="004C2B05"/>
    <w:rsid w:val="004C4DE8"/>
    <w:rsid w:val="004C4FD0"/>
    <w:rsid w:val="004C6603"/>
    <w:rsid w:val="004C6643"/>
    <w:rsid w:val="004C6ED3"/>
    <w:rsid w:val="004D1A2A"/>
    <w:rsid w:val="004D36DE"/>
    <w:rsid w:val="004D3E46"/>
    <w:rsid w:val="004D70A3"/>
    <w:rsid w:val="004E0748"/>
    <w:rsid w:val="004E0890"/>
    <w:rsid w:val="004E2A40"/>
    <w:rsid w:val="004E5BC9"/>
    <w:rsid w:val="004F29DE"/>
    <w:rsid w:val="004F29ED"/>
    <w:rsid w:val="00502513"/>
    <w:rsid w:val="005040EF"/>
    <w:rsid w:val="00507523"/>
    <w:rsid w:val="00510B40"/>
    <w:rsid w:val="00512883"/>
    <w:rsid w:val="00514E38"/>
    <w:rsid w:val="005158C3"/>
    <w:rsid w:val="005206D9"/>
    <w:rsid w:val="0052388D"/>
    <w:rsid w:val="00523934"/>
    <w:rsid w:val="00524169"/>
    <w:rsid w:val="005251AC"/>
    <w:rsid w:val="00526943"/>
    <w:rsid w:val="00527DC1"/>
    <w:rsid w:val="00530F39"/>
    <w:rsid w:val="00531810"/>
    <w:rsid w:val="00532EC8"/>
    <w:rsid w:val="00533D31"/>
    <w:rsid w:val="00533F20"/>
    <w:rsid w:val="00535E24"/>
    <w:rsid w:val="00537ED6"/>
    <w:rsid w:val="00543803"/>
    <w:rsid w:val="0054389A"/>
    <w:rsid w:val="00546209"/>
    <w:rsid w:val="00547D11"/>
    <w:rsid w:val="00554D82"/>
    <w:rsid w:val="00557DC7"/>
    <w:rsid w:val="005622A3"/>
    <w:rsid w:val="00564BA8"/>
    <w:rsid w:val="00565890"/>
    <w:rsid w:val="00567F58"/>
    <w:rsid w:val="00571329"/>
    <w:rsid w:val="00577ECB"/>
    <w:rsid w:val="005803A3"/>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432A"/>
    <w:rsid w:val="005B4D00"/>
    <w:rsid w:val="005B62DB"/>
    <w:rsid w:val="005B797D"/>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1EF9"/>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6560"/>
    <w:rsid w:val="006465EE"/>
    <w:rsid w:val="006505C8"/>
    <w:rsid w:val="0065479F"/>
    <w:rsid w:val="00655AC1"/>
    <w:rsid w:val="00655B29"/>
    <w:rsid w:val="00663AB6"/>
    <w:rsid w:val="006664DD"/>
    <w:rsid w:val="006714BD"/>
    <w:rsid w:val="006724D2"/>
    <w:rsid w:val="00676F88"/>
    <w:rsid w:val="00677973"/>
    <w:rsid w:val="00680D20"/>
    <w:rsid w:val="00682BF9"/>
    <w:rsid w:val="00684B7E"/>
    <w:rsid w:val="00692515"/>
    <w:rsid w:val="00692539"/>
    <w:rsid w:val="00692FEA"/>
    <w:rsid w:val="006A16B7"/>
    <w:rsid w:val="006A2B7C"/>
    <w:rsid w:val="006A4448"/>
    <w:rsid w:val="006A6634"/>
    <w:rsid w:val="006A7B3A"/>
    <w:rsid w:val="006A7CAA"/>
    <w:rsid w:val="006B1C95"/>
    <w:rsid w:val="006C0578"/>
    <w:rsid w:val="006C08D0"/>
    <w:rsid w:val="006C544D"/>
    <w:rsid w:val="006C6972"/>
    <w:rsid w:val="006C7BE2"/>
    <w:rsid w:val="006E070D"/>
    <w:rsid w:val="006E4885"/>
    <w:rsid w:val="006F28AB"/>
    <w:rsid w:val="006F31C5"/>
    <w:rsid w:val="006F58FC"/>
    <w:rsid w:val="006F6128"/>
    <w:rsid w:val="00707444"/>
    <w:rsid w:val="007077DC"/>
    <w:rsid w:val="00717D33"/>
    <w:rsid w:val="00717DAF"/>
    <w:rsid w:val="00724420"/>
    <w:rsid w:val="00730A96"/>
    <w:rsid w:val="0073404D"/>
    <w:rsid w:val="0074226B"/>
    <w:rsid w:val="00746DAD"/>
    <w:rsid w:val="00747265"/>
    <w:rsid w:val="00750868"/>
    <w:rsid w:val="00750CE4"/>
    <w:rsid w:val="00751210"/>
    <w:rsid w:val="00752719"/>
    <w:rsid w:val="00756EE1"/>
    <w:rsid w:val="00757E8A"/>
    <w:rsid w:val="0076242B"/>
    <w:rsid w:val="007626AE"/>
    <w:rsid w:val="0077336F"/>
    <w:rsid w:val="007744F5"/>
    <w:rsid w:val="00777076"/>
    <w:rsid w:val="0078217A"/>
    <w:rsid w:val="007852FA"/>
    <w:rsid w:val="00785A54"/>
    <w:rsid w:val="00786889"/>
    <w:rsid w:val="00786D40"/>
    <w:rsid w:val="0079072C"/>
    <w:rsid w:val="007908DA"/>
    <w:rsid w:val="0079286F"/>
    <w:rsid w:val="00793EF0"/>
    <w:rsid w:val="0079582B"/>
    <w:rsid w:val="0079699D"/>
    <w:rsid w:val="007A062E"/>
    <w:rsid w:val="007A3616"/>
    <w:rsid w:val="007A490C"/>
    <w:rsid w:val="007A5D58"/>
    <w:rsid w:val="007A617D"/>
    <w:rsid w:val="007B17F2"/>
    <w:rsid w:val="007B3243"/>
    <w:rsid w:val="007B4F20"/>
    <w:rsid w:val="007B767E"/>
    <w:rsid w:val="007C3278"/>
    <w:rsid w:val="007C3767"/>
    <w:rsid w:val="007C4ED5"/>
    <w:rsid w:val="007C64DB"/>
    <w:rsid w:val="007D0BF4"/>
    <w:rsid w:val="007D283E"/>
    <w:rsid w:val="007D2C0E"/>
    <w:rsid w:val="007D37F5"/>
    <w:rsid w:val="007D4800"/>
    <w:rsid w:val="007D54D4"/>
    <w:rsid w:val="007E0D2F"/>
    <w:rsid w:val="007E11F0"/>
    <w:rsid w:val="007E1904"/>
    <w:rsid w:val="007E4341"/>
    <w:rsid w:val="007F0BC1"/>
    <w:rsid w:val="007F4008"/>
    <w:rsid w:val="007F5D86"/>
    <w:rsid w:val="007F7FBE"/>
    <w:rsid w:val="00801D81"/>
    <w:rsid w:val="00805DD6"/>
    <w:rsid w:val="008079D7"/>
    <w:rsid w:val="00812F53"/>
    <w:rsid w:val="00820262"/>
    <w:rsid w:val="008239A6"/>
    <w:rsid w:val="00824273"/>
    <w:rsid w:val="00826151"/>
    <w:rsid w:val="00830925"/>
    <w:rsid w:val="00831F68"/>
    <w:rsid w:val="00832C12"/>
    <w:rsid w:val="00834E11"/>
    <w:rsid w:val="00835E6D"/>
    <w:rsid w:val="00836AC2"/>
    <w:rsid w:val="008427B3"/>
    <w:rsid w:val="0084432A"/>
    <w:rsid w:val="00844B4A"/>
    <w:rsid w:val="008464F5"/>
    <w:rsid w:val="00850AE1"/>
    <w:rsid w:val="00857073"/>
    <w:rsid w:val="008573ED"/>
    <w:rsid w:val="008604A6"/>
    <w:rsid w:val="00862954"/>
    <w:rsid w:val="00865060"/>
    <w:rsid w:val="00866D40"/>
    <w:rsid w:val="00867305"/>
    <w:rsid w:val="008726AD"/>
    <w:rsid w:val="00872DE3"/>
    <w:rsid w:val="008759ED"/>
    <w:rsid w:val="00876B33"/>
    <w:rsid w:val="0087793D"/>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2B41"/>
    <w:rsid w:val="008A497C"/>
    <w:rsid w:val="008A53FB"/>
    <w:rsid w:val="008B5380"/>
    <w:rsid w:val="008B55F5"/>
    <w:rsid w:val="008C42C6"/>
    <w:rsid w:val="008D4B88"/>
    <w:rsid w:val="008D50DB"/>
    <w:rsid w:val="008D6F65"/>
    <w:rsid w:val="008D7467"/>
    <w:rsid w:val="008E0FAB"/>
    <w:rsid w:val="008E1BA2"/>
    <w:rsid w:val="008E6147"/>
    <w:rsid w:val="008E709C"/>
    <w:rsid w:val="008E7F1A"/>
    <w:rsid w:val="008F22B8"/>
    <w:rsid w:val="008F2854"/>
    <w:rsid w:val="008F41CD"/>
    <w:rsid w:val="008F4845"/>
    <w:rsid w:val="00901DAF"/>
    <w:rsid w:val="00902B8D"/>
    <w:rsid w:val="009038D6"/>
    <w:rsid w:val="00905646"/>
    <w:rsid w:val="009069D9"/>
    <w:rsid w:val="0091171B"/>
    <w:rsid w:val="0091336B"/>
    <w:rsid w:val="0091488D"/>
    <w:rsid w:val="00916560"/>
    <w:rsid w:val="009168EF"/>
    <w:rsid w:val="00916BA8"/>
    <w:rsid w:val="009202C3"/>
    <w:rsid w:val="009209AF"/>
    <w:rsid w:val="00923860"/>
    <w:rsid w:val="0092467C"/>
    <w:rsid w:val="0092632D"/>
    <w:rsid w:val="009267B3"/>
    <w:rsid w:val="0092703E"/>
    <w:rsid w:val="00927BD7"/>
    <w:rsid w:val="0093124E"/>
    <w:rsid w:val="00931361"/>
    <w:rsid w:val="0093280D"/>
    <w:rsid w:val="00933155"/>
    <w:rsid w:val="00935E4A"/>
    <w:rsid w:val="009369B7"/>
    <w:rsid w:val="009376D8"/>
    <w:rsid w:val="00940456"/>
    <w:rsid w:val="00945733"/>
    <w:rsid w:val="00950850"/>
    <w:rsid w:val="00951245"/>
    <w:rsid w:val="00951A07"/>
    <w:rsid w:val="009539CA"/>
    <w:rsid w:val="0096083C"/>
    <w:rsid w:val="00960C1A"/>
    <w:rsid w:val="00960CBE"/>
    <w:rsid w:val="00962E9B"/>
    <w:rsid w:val="00963DF1"/>
    <w:rsid w:val="0096465E"/>
    <w:rsid w:val="0096490C"/>
    <w:rsid w:val="00965E21"/>
    <w:rsid w:val="009662DC"/>
    <w:rsid w:val="00967F40"/>
    <w:rsid w:val="009700BB"/>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0646"/>
    <w:rsid w:val="00A04393"/>
    <w:rsid w:val="00A04BD0"/>
    <w:rsid w:val="00A06122"/>
    <w:rsid w:val="00A117AF"/>
    <w:rsid w:val="00A12000"/>
    <w:rsid w:val="00A128A3"/>
    <w:rsid w:val="00A13F77"/>
    <w:rsid w:val="00A153D1"/>
    <w:rsid w:val="00A21E3F"/>
    <w:rsid w:val="00A25595"/>
    <w:rsid w:val="00A27E9D"/>
    <w:rsid w:val="00A30749"/>
    <w:rsid w:val="00A32975"/>
    <w:rsid w:val="00A3321B"/>
    <w:rsid w:val="00A33EB0"/>
    <w:rsid w:val="00A41AED"/>
    <w:rsid w:val="00A43C7A"/>
    <w:rsid w:val="00A4426B"/>
    <w:rsid w:val="00A442BD"/>
    <w:rsid w:val="00A45E87"/>
    <w:rsid w:val="00A469A0"/>
    <w:rsid w:val="00A47C08"/>
    <w:rsid w:val="00A47C19"/>
    <w:rsid w:val="00A50963"/>
    <w:rsid w:val="00A51C0A"/>
    <w:rsid w:val="00A53075"/>
    <w:rsid w:val="00A5334E"/>
    <w:rsid w:val="00A54DF1"/>
    <w:rsid w:val="00A55C9B"/>
    <w:rsid w:val="00A56FEF"/>
    <w:rsid w:val="00A60497"/>
    <w:rsid w:val="00A72333"/>
    <w:rsid w:val="00A81C86"/>
    <w:rsid w:val="00A81CE7"/>
    <w:rsid w:val="00A844CE"/>
    <w:rsid w:val="00A854FD"/>
    <w:rsid w:val="00A85F54"/>
    <w:rsid w:val="00A91479"/>
    <w:rsid w:val="00A9670B"/>
    <w:rsid w:val="00A96804"/>
    <w:rsid w:val="00A96C0D"/>
    <w:rsid w:val="00A96D04"/>
    <w:rsid w:val="00A97430"/>
    <w:rsid w:val="00AA0055"/>
    <w:rsid w:val="00AA0C64"/>
    <w:rsid w:val="00AA2966"/>
    <w:rsid w:val="00AB22B7"/>
    <w:rsid w:val="00AB3524"/>
    <w:rsid w:val="00AB5634"/>
    <w:rsid w:val="00AB57E3"/>
    <w:rsid w:val="00AC0136"/>
    <w:rsid w:val="00AC040F"/>
    <w:rsid w:val="00AC2C43"/>
    <w:rsid w:val="00AC5A0A"/>
    <w:rsid w:val="00AC6421"/>
    <w:rsid w:val="00AC7047"/>
    <w:rsid w:val="00AD1BC3"/>
    <w:rsid w:val="00AD36C8"/>
    <w:rsid w:val="00AD37DD"/>
    <w:rsid w:val="00AE02C8"/>
    <w:rsid w:val="00AE04E8"/>
    <w:rsid w:val="00AE2999"/>
    <w:rsid w:val="00AE417B"/>
    <w:rsid w:val="00AE72C1"/>
    <w:rsid w:val="00AF1A16"/>
    <w:rsid w:val="00AF1C94"/>
    <w:rsid w:val="00AF1EF9"/>
    <w:rsid w:val="00AF1FAD"/>
    <w:rsid w:val="00AF44B5"/>
    <w:rsid w:val="00B07C32"/>
    <w:rsid w:val="00B07D19"/>
    <w:rsid w:val="00B07E4A"/>
    <w:rsid w:val="00B10560"/>
    <w:rsid w:val="00B107D8"/>
    <w:rsid w:val="00B137DB"/>
    <w:rsid w:val="00B163A7"/>
    <w:rsid w:val="00B1726F"/>
    <w:rsid w:val="00B21665"/>
    <w:rsid w:val="00B22487"/>
    <w:rsid w:val="00B22DA6"/>
    <w:rsid w:val="00B23AE3"/>
    <w:rsid w:val="00B240BB"/>
    <w:rsid w:val="00B24A03"/>
    <w:rsid w:val="00B25B67"/>
    <w:rsid w:val="00B277D8"/>
    <w:rsid w:val="00B33133"/>
    <w:rsid w:val="00B33ACA"/>
    <w:rsid w:val="00B34ED8"/>
    <w:rsid w:val="00B3503C"/>
    <w:rsid w:val="00B41038"/>
    <w:rsid w:val="00B44124"/>
    <w:rsid w:val="00B52FE3"/>
    <w:rsid w:val="00B5454F"/>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091C"/>
    <w:rsid w:val="00BD1E88"/>
    <w:rsid w:val="00BD3E4B"/>
    <w:rsid w:val="00BD4AD2"/>
    <w:rsid w:val="00BD7A95"/>
    <w:rsid w:val="00BE334E"/>
    <w:rsid w:val="00BE7278"/>
    <w:rsid w:val="00BF00FD"/>
    <w:rsid w:val="00BF2630"/>
    <w:rsid w:val="00BF290E"/>
    <w:rsid w:val="00BF72FB"/>
    <w:rsid w:val="00C001BD"/>
    <w:rsid w:val="00C00D8C"/>
    <w:rsid w:val="00C00E42"/>
    <w:rsid w:val="00C0158C"/>
    <w:rsid w:val="00C018AA"/>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2B9"/>
    <w:rsid w:val="00C639CC"/>
    <w:rsid w:val="00C6479D"/>
    <w:rsid w:val="00C6493F"/>
    <w:rsid w:val="00C7163A"/>
    <w:rsid w:val="00C71786"/>
    <w:rsid w:val="00C73F33"/>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3DAE"/>
    <w:rsid w:val="00CE4B57"/>
    <w:rsid w:val="00CE76F8"/>
    <w:rsid w:val="00CE7B84"/>
    <w:rsid w:val="00CF0C05"/>
    <w:rsid w:val="00CF4B0D"/>
    <w:rsid w:val="00D000AF"/>
    <w:rsid w:val="00D013EB"/>
    <w:rsid w:val="00D031A0"/>
    <w:rsid w:val="00D03FC3"/>
    <w:rsid w:val="00D05A45"/>
    <w:rsid w:val="00D0658A"/>
    <w:rsid w:val="00D075E1"/>
    <w:rsid w:val="00D13CF8"/>
    <w:rsid w:val="00D2012F"/>
    <w:rsid w:val="00D20653"/>
    <w:rsid w:val="00D2116E"/>
    <w:rsid w:val="00D2191D"/>
    <w:rsid w:val="00D24632"/>
    <w:rsid w:val="00D2557A"/>
    <w:rsid w:val="00D25E3C"/>
    <w:rsid w:val="00D26FC9"/>
    <w:rsid w:val="00D3050A"/>
    <w:rsid w:val="00D341EC"/>
    <w:rsid w:val="00D3699F"/>
    <w:rsid w:val="00D414AB"/>
    <w:rsid w:val="00D435E5"/>
    <w:rsid w:val="00D439F5"/>
    <w:rsid w:val="00D45309"/>
    <w:rsid w:val="00D45597"/>
    <w:rsid w:val="00D51F83"/>
    <w:rsid w:val="00D53AC9"/>
    <w:rsid w:val="00D55A1B"/>
    <w:rsid w:val="00D55AAD"/>
    <w:rsid w:val="00D677A5"/>
    <w:rsid w:val="00D67954"/>
    <w:rsid w:val="00D7137B"/>
    <w:rsid w:val="00D72CA1"/>
    <w:rsid w:val="00D7378F"/>
    <w:rsid w:val="00D80445"/>
    <w:rsid w:val="00D830D0"/>
    <w:rsid w:val="00D834BD"/>
    <w:rsid w:val="00D845AC"/>
    <w:rsid w:val="00D87B93"/>
    <w:rsid w:val="00D87BC4"/>
    <w:rsid w:val="00D91A3F"/>
    <w:rsid w:val="00D92FE1"/>
    <w:rsid w:val="00D93C58"/>
    <w:rsid w:val="00D93D08"/>
    <w:rsid w:val="00D950BD"/>
    <w:rsid w:val="00D95E6B"/>
    <w:rsid w:val="00D97519"/>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457"/>
    <w:rsid w:val="00DD72B3"/>
    <w:rsid w:val="00DE014D"/>
    <w:rsid w:val="00DE01AA"/>
    <w:rsid w:val="00DE07D3"/>
    <w:rsid w:val="00DE539B"/>
    <w:rsid w:val="00DE54AF"/>
    <w:rsid w:val="00DE5FAA"/>
    <w:rsid w:val="00DE674B"/>
    <w:rsid w:val="00DE6B46"/>
    <w:rsid w:val="00DF0773"/>
    <w:rsid w:val="00DF1020"/>
    <w:rsid w:val="00DF13F4"/>
    <w:rsid w:val="00DF2CD8"/>
    <w:rsid w:val="00DF6AAA"/>
    <w:rsid w:val="00DF6C26"/>
    <w:rsid w:val="00DF7F18"/>
    <w:rsid w:val="00E11AC0"/>
    <w:rsid w:val="00E1261C"/>
    <w:rsid w:val="00E12F81"/>
    <w:rsid w:val="00E14798"/>
    <w:rsid w:val="00E15048"/>
    <w:rsid w:val="00E2569A"/>
    <w:rsid w:val="00E25C19"/>
    <w:rsid w:val="00E26C0A"/>
    <w:rsid w:val="00E27421"/>
    <w:rsid w:val="00E31E21"/>
    <w:rsid w:val="00E32185"/>
    <w:rsid w:val="00E3735F"/>
    <w:rsid w:val="00E42283"/>
    <w:rsid w:val="00E42562"/>
    <w:rsid w:val="00E4600B"/>
    <w:rsid w:val="00E474A1"/>
    <w:rsid w:val="00E4780E"/>
    <w:rsid w:val="00E5287C"/>
    <w:rsid w:val="00E5296C"/>
    <w:rsid w:val="00E554CD"/>
    <w:rsid w:val="00E56647"/>
    <w:rsid w:val="00E662DD"/>
    <w:rsid w:val="00E67917"/>
    <w:rsid w:val="00E6793D"/>
    <w:rsid w:val="00E71073"/>
    <w:rsid w:val="00E725B9"/>
    <w:rsid w:val="00E73E28"/>
    <w:rsid w:val="00E75520"/>
    <w:rsid w:val="00E7651E"/>
    <w:rsid w:val="00E84754"/>
    <w:rsid w:val="00E84D30"/>
    <w:rsid w:val="00E86E60"/>
    <w:rsid w:val="00E87E9E"/>
    <w:rsid w:val="00E906B0"/>
    <w:rsid w:val="00E9219A"/>
    <w:rsid w:val="00E93747"/>
    <w:rsid w:val="00EA342F"/>
    <w:rsid w:val="00EA492D"/>
    <w:rsid w:val="00EB0407"/>
    <w:rsid w:val="00EB18FA"/>
    <w:rsid w:val="00EB4A3F"/>
    <w:rsid w:val="00EC17B5"/>
    <w:rsid w:val="00EC314B"/>
    <w:rsid w:val="00EC69BE"/>
    <w:rsid w:val="00ED03CE"/>
    <w:rsid w:val="00ED07A4"/>
    <w:rsid w:val="00EE1534"/>
    <w:rsid w:val="00EE4F67"/>
    <w:rsid w:val="00EE5278"/>
    <w:rsid w:val="00EE5BC2"/>
    <w:rsid w:val="00EE5C0B"/>
    <w:rsid w:val="00EE6560"/>
    <w:rsid w:val="00EF0074"/>
    <w:rsid w:val="00EF40A3"/>
    <w:rsid w:val="00F01B41"/>
    <w:rsid w:val="00F01DEB"/>
    <w:rsid w:val="00F021E4"/>
    <w:rsid w:val="00F02E47"/>
    <w:rsid w:val="00F030AF"/>
    <w:rsid w:val="00F060F0"/>
    <w:rsid w:val="00F06FEB"/>
    <w:rsid w:val="00F0769E"/>
    <w:rsid w:val="00F07D10"/>
    <w:rsid w:val="00F10FEF"/>
    <w:rsid w:val="00F112CA"/>
    <w:rsid w:val="00F11A50"/>
    <w:rsid w:val="00F13DED"/>
    <w:rsid w:val="00F21914"/>
    <w:rsid w:val="00F23474"/>
    <w:rsid w:val="00F24D51"/>
    <w:rsid w:val="00F3022B"/>
    <w:rsid w:val="00F3076A"/>
    <w:rsid w:val="00F35245"/>
    <w:rsid w:val="00F3631B"/>
    <w:rsid w:val="00F3674B"/>
    <w:rsid w:val="00F405B9"/>
    <w:rsid w:val="00F4211E"/>
    <w:rsid w:val="00F42EA3"/>
    <w:rsid w:val="00F46381"/>
    <w:rsid w:val="00F47E4F"/>
    <w:rsid w:val="00F52522"/>
    <w:rsid w:val="00F540BF"/>
    <w:rsid w:val="00F550F8"/>
    <w:rsid w:val="00F61599"/>
    <w:rsid w:val="00F615D7"/>
    <w:rsid w:val="00F61BFB"/>
    <w:rsid w:val="00F6347A"/>
    <w:rsid w:val="00F65080"/>
    <w:rsid w:val="00F65190"/>
    <w:rsid w:val="00F673D5"/>
    <w:rsid w:val="00F67B02"/>
    <w:rsid w:val="00F70329"/>
    <w:rsid w:val="00F716C6"/>
    <w:rsid w:val="00F71A12"/>
    <w:rsid w:val="00F75691"/>
    <w:rsid w:val="00F7738F"/>
    <w:rsid w:val="00F77B0E"/>
    <w:rsid w:val="00F91AA7"/>
    <w:rsid w:val="00F93085"/>
    <w:rsid w:val="00F93D9C"/>
    <w:rsid w:val="00F9626D"/>
    <w:rsid w:val="00FA0AD8"/>
    <w:rsid w:val="00FA1A64"/>
    <w:rsid w:val="00FA6244"/>
    <w:rsid w:val="00FA73B6"/>
    <w:rsid w:val="00FA7A33"/>
    <w:rsid w:val="00FB1499"/>
    <w:rsid w:val="00FB33ED"/>
    <w:rsid w:val="00FB52AC"/>
    <w:rsid w:val="00FB5A7D"/>
    <w:rsid w:val="00FC3FA0"/>
    <w:rsid w:val="00FC4731"/>
    <w:rsid w:val="00FC4ACE"/>
    <w:rsid w:val="00FC4E4C"/>
    <w:rsid w:val="00FC5E87"/>
    <w:rsid w:val="00FD10BB"/>
    <w:rsid w:val="00FD283C"/>
    <w:rsid w:val="00FD2B3E"/>
    <w:rsid w:val="00FD43C2"/>
    <w:rsid w:val="00FD4D68"/>
    <w:rsid w:val="00FD5FCF"/>
    <w:rsid w:val="00FD6B02"/>
    <w:rsid w:val="00FE1452"/>
    <w:rsid w:val="00FE4E9E"/>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qFormat/>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unhideWhenUsed/>
    <w:rsid w:val="00724420"/>
    <w:rPr>
      <w:color w:val="605E5C"/>
      <w:shd w:val="clear" w:color="auto" w:fill="E1DFDD"/>
    </w:rPr>
  </w:style>
  <w:style w:type="character" w:styleId="Mention">
    <w:name w:val="Mention"/>
    <w:basedOn w:val="DefaultParagraphFont"/>
    <w:uiPriority w:val="99"/>
    <w:unhideWhenUsed/>
    <w:rsid w:val="0087793D"/>
    <w:rPr>
      <w:color w:val="2B579A"/>
      <w:shd w:val="clear" w:color="auto" w:fill="E1DFDD"/>
    </w:rPr>
  </w:style>
  <w:style w:type="paragraph" w:customStyle="1" w:styleId="paragraph">
    <w:name w:val="paragraph"/>
    <w:basedOn w:val="Normal"/>
    <w:rsid w:val="001B7844"/>
    <w:pPr>
      <w:spacing w:before="100" w:beforeAutospacing="1" w:after="100" w:afterAutospacing="1"/>
    </w:pPr>
    <w:rPr>
      <w:lang w:eastAsia="lt-LT"/>
    </w:rPr>
  </w:style>
  <w:style w:type="character" w:customStyle="1" w:styleId="normaltextrun">
    <w:name w:val="normaltextrun"/>
    <w:basedOn w:val="DefaultParagraphFont"/>
    <w:rsid w:val="001B7844"/>
  </w:style>
  <w:style w:type="character" w:customStyle="1" w:styleId="eop">
    <w:name w:val="eop"/>
    <w:basedOn w:val="DefaultParagraphFont"/>
    <w:rsid w:val="001B7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395709033">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67358194">
      <w:bodyDiv w:val="1"/>
      <w:marLeft w:val="0"/>
      <w:marRight w:val="0"/>
      <w:marTop w:val="0"/>
      <w:marBottom w:val="0"/>
      <w:divBdr>
        <w:top w:val="none" w:sz="0" w:space="0" w:color="auto"/>
        <w:left w:val="none" w:sz="0" w:space="0" w:color="auto"/>
        <w:bottom w:val="none" w:sz="0" w:space="0" w:color="auto"/>
        <w:right w:val="none" w:sz="0" w:space="0" w:color="auto"/>
      </w:divBdr>
      <w:divsChild>
        <w:div w:id="1255475466">
          <w:marLeft w:val="0"/>
          <w:marRight w:val="0"/>
          <w:marTop w:val="0"/>
          <w:marBottom w:val="0"/>
          <w:divBdr>
            <w:top w:val="none" w:sz="0" w:space="0" w:color="auto"/>
            <w:left w:val="none" w:sz="0" w:space="0" w:color="auto"/>
            <w:bottom w:val="none" w:sz="0" w:space="0" w:color="auto"/>
            <w:right w:val="none" w:sz="0" w:space="0" w:color="auto"/>
          </w:divBdr>
        </w:div>
        <w:div w:id="1431386908">
          <w:marLeft w:val="0"/>
          <w:marRight w:val="0"/>
          <w:marTop w:val="0"/>
          <w:marBottom w:val="0"/>
          <w:divBdr>
            <w:top w:val="none" w:sz="0" w:space="0" w:color="auto"/>
            <w:left w:val="none" w:sz="0" w:space="0" w:color="auto"/>
            <w:bottom w:val="none" w:sz="0" w:space="0" w:color="auto"/>
            <w:right w:val="none" w:sz="0" w:space="0" w:color="auto"/>
          </w:divBdr>
        </w:div>
        <w:div w:id="1033651634">
          <w:marLeft w:val="0"/>
          <w:marRight w:val="0"/>
          <w:marTop w:val="0"/>
          <w:marBottom w:val="0"/>
          <w:divBdr>
            <w:top w:val="none" w:sz="0" w:space="0" w:color="auto"/>
            <w:left w:val="none" w:sz="0" w:space="0" w:color="auto"/>
            <w:bottom w:val="none" w:sz="0" w:space="0" w:color="auto"/>
            <w:right w:val="none" w:sz="0" w:space="0" w:color="auto"/>
          </w:divBdr>
        </w:div>
        <w:div w:id="1505125344">
          <w:marLeft w:val="0"/>
          <w:marRight w:val="0"/>
          <w:marTop w:val="0"/>
          <w:marBottom w:val="0"/>
          <w:divBdr>
            <w:top w:val="none" w:sz="0" w:space="0" w:color="auto"/>
            <w:left w:val="none" w:sz="0" w:space="0" w:color="auto"/>
            <w:bottom w:val="none" w:sz="0" w:space="0" w:color="auto"/>
            <w:right w:val="none" w:sz="0" w:space="0" w:color="auto"/>
          </w:divBdr>
        </w:div>
      </w:divsChild>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145661738">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436057455">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tat.gov.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ignitisgrupe.lt/sites/default/files/public/2024-08/LT_Ignitis%20grupe_Etikos-kodeksas_A4-c_0.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0B829C7A6142928A582F4826099B4E"/>
        <w:category>
          <w:name w:val="General"/>
          <w:gallery w:val="placeholder"/>
        </w:category>
        <w:types>
          <w:type w:val="bbPlcHdr"/>
        </w:types>
        <w:behaviors>
          <w:behavior w:val="content"/>
        </w:behaviors>
        <w:guid w:val="{AB8AE7FD-97E8-4A23-A827-165E57B2E314}"/>
      </w:docPartPr>
      <w:docPartBody>
        <w:p w:rsidR="0044638E" w:rsidRDefault="003819BF" w:rsidP="003819BF">
          <w:pPr>
            <w:pStyle w:val="060B829C7A6142928A582F4826099B4E"/>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9BF"/>
    <w:rsid w:val="000A7899"/>
    <w:rsid w:val="001A3872"/>
    <w:rsid w:val="002D13D7"/>
    <w:rsid w:val="003819BF"/>
    <w:rsid w:val="003C6117"/>
    <w:rsid w:val="00442AD2"/>
    <w:rsid w:val="0044638E"/>
    <w:rsid w:val="00490460"/>
    <w:rsid w:val="004F436F"/>
    <w:rsid w:val="005B3E27"/>
    <w:rsid w:val="00664512"/>
    <w:rsid w:val="006B38CD"/>
    <w:rsid w:val="006C3542"/>
    <w:rsid w:val="00816EB2"/>
    <w:rsid w:val="008F2AF4"/>
    <w:rsid w:val="00A41012"/>
    <w:rsid w:val="00BF38C3"/>
    <w:rsid w:val="00C4280A"/>
    <w:rsid w:val="00C72603"/>
    <w:rsid w:val="00CD4E37"/>
    <w:rsid w:val="00DC6875"/>
    <w:rsid w:val="00EA2D4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3819BF"/>
    <w:rPr>
      <w:rFonts w:ascii="Arial" w:hAnsi="Arial" w:cs="Arial"/>
      <w:sz w:val="20"/>
      <w:szCs w:val="20"/>
    </w:rPr>
  </w:style>
  <w:style w:type="paragraph" w:customStyle="1" w:styleId="060B829C7A6142928A582F4826099B4E">
    <w:name w:val="060B829C7A6142928A582F4826099B4E"/>
    <w:rsid w:val="003819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40aeaa6a-6a37-42f1-8929-cfe28b1fdfde" xsi:nil="true"/>
    <lcf76f155ced4ddcb4097134ff3c332f xmlns="4e521fc8-c9e0-4f7f-9e15-891ede8b564b">
      <Terms xmlns="http://schemas.microsoft.com/office/infopath/2007/PartnerControls"/>
    </lcf76f155ced4ddcb4097134ff3c332f>
    <Pakeisti_x012f_kainiai xmlns="4e521fc8-c9e0-4f7f-9e15-891ede8b564b">false</Pakeisti_x012f_kainiai>
    <Paruo_x0161_ta xmlns="4e521fc8-c9e0-4f7f-9e15-891ede8b564b">false</Paruo_x0161_ta>
    <Pateiktaderinimuif_x002d_jai xmlns="4e521fc8-c9e0-4f7f-9e15-891ede8b564b">false</Pateiktaderinimuif_x002d_jai>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5A0451B35B0345892B7EB4B25FDA1A" ma:contentTypeVersion="17" ma:contentTypeDescription="Create a new document." ma:contentTypeScope="" ma:versionID="b03a8c57ac1a25cfc7a56d71730a526f">
  <xsd:schema xmlns:xsd="http://www.w3.org/2001/XMLSchema" xmlns:xs="http://www.w3.org/2001/XMLSchema" xmlns:p="http://schemas.microsoft.com/office/2006/metadata/properties" xmlns:ns2="4e521fc8-c9e0-4f7f-9e15-891ede8b564b" xmlns:ns3="40aeaa6a-6a37-42f1-8929-cfe28b1fdfde" targetNamespace="http://schemas.microsoft.com/office/2006/metadata/properties" ma:root="true" ma:fieldsID="b3cecb9e51399530e2394f89fa6c70ba" ns2:_="" ns3:_="">
    <xsd:import namespace="4e521fc8-c9e0-4f7f-9e15-891ede8b564b"/>
    <xsd:import namespace="40aeaa6a-6a37-42f1-8929-cfe28b1fdf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Pateiktaderinimuif_x002d_jai" minOccurs="0"/>
                <xsd:element ref="ns2:Pakeisti_x012f_kainiai" minOccurs="0"/>
                <xsd:element ref="ns2:Paruo_x0161_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21fc8-c9e0-4f7f-9e15-891ede8b5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Pateiktaderinimuif_x002d_jai" ma:index="20" nillable="true" ma:displayName="Pateikta derinimui f-jai" ma:default="0" ma:format="Dropdown" ma:internalName="Pateiktaderinimuif_x002d_jai">
      <xsd:simpleType>
        <xsd:restriction base="dms:Boolean"/>
      </xsd:simpleType>
    </xsd:element>
    <xsd:element name="Pakeisti_x012f_kainiai" ma:index="21" nillable="true" ma:displayName="Pakeisti įkainiai" ma:default="0" ma:format="Dropdown" ma:internalName="Pakeisti_x012f_kainiai">
      <xsd:simpleType>
        <xsd:restriction base="dms:Boolean"/>
      </xsd:simpleType>
    </xsd:element>
    <xsd:element name="Paruo_x0161_ta" ma:index="22" nillable="true" ma:displayName="Paruošta" ma:default="0" ma:description="Paruošta kėlimui į sutartis" ma:format="Dropdown" ma:internalName="Paruo_x0161_ta">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aeaa6a-6a37-42f1-8929-cfe28b1fdf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bebe6d1-1f20-4520-80b1-db13f72b3076}" ma:internalName="TaxCatchAll" ma:showField="CatchAllData" ma:web="40aeaa6a-6a37-42f1-8929-cfe28b1fd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8EE28-7C96-4BF4-835B-79720DCC1AA5}">
  <ds:schemaRefs>
    <ds:schemaRef ds:uri="http://schemas.openxmlformats.org/officeDocument/2006/bibliography"/>
  </ds:schemaRefs>
</ds:datastoreItem>
</file>

<file path=customXml/itemProps2.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40aeaa6a-6a37-42f1-8929-cfe28b1fdfde"/>
    <ds:schemaRef ds:uri="4e521fc8-c9e0-4f7f-9e15-891ede8b564b"/>
  </ds:schemaRefs>
</ds:datastoreItem>
</file>

<file path=customXml/itemProps3.xml><?xml version="1.0" encoding="utf-8"?>
<ds:datastoreItem xmlns:ds="http://schemas.openxmlformats.org/officeDocument/2006/customXml" ds:itemID="{C4322BE1-C32B-4D48-B52C-D71007DF7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21fc8-c9e0-4f7f-9e15-891ede8b564b"/>
    <ds:schemaRef ds:uri="40aeaa6a-6a37-42f1-8929-cfe28b1fd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5.xml><?xml version="1.0" encoding="utf-8"?>
<ds:datastoreItem xmlns:ds="http://schemas.openxmlformats.org/officeDocument/2006/customXml" ds:itemID="{80D4CEA0-7449-4432-9924-ECD5D86967AC}">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9419</Words>
  <Characters>5370</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
  <LinksUpToDate>false</LinksUpToDate>
  <CharactersWithSpaces>14760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Čerkauskienė</dc:creator>
  <cp:lastModifiedBy>Živilė Kasparavičienė</cp:lastModifiedBy>
  <cp:revision>3</cp:revision>
  <cp:lastPrinted>2014-04-16T13:05:00Z</cp:lastPrinted>
  <dcterms:created xsi:type="dcterms:W3CDTF">2025-01-22T11:01:00Z</dcterms:created>
  <dcterms:modified xsi:type="dcterms:W3CDTF">2025-01-23T10:01:00Z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0x0101003A5A0451B35B0345892B7EB4B25FDA1A</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Akvile.Sankuniene@ignitis.lt</vt:lpwstr>
  </property>
  <property fmtid="{D5CDD505-2E9C-101B-9397-08002B2CF9AE}" pid="14" name="MSIP_Label_190751af-2442-49a7-b7b9-9f0bcce858c9_SetDate">
    <vt:lpwstr>2019-12-04T07:46:08.1552137Z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cd953850-51f9-48dd-a1d0-10623ea3fc46</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