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164" w:rsidRPr="008A1BFA" w:rsidRDefault="00B26164" w:rsidP="00B26164">
      <w:pPr>
        <w:tabs>
          <w:tab w:val="left" w:pos="851"/>
        </w:tabs>
        <w:spacing w:line="240" w:lineRule="auto"/>
        <w:ind w:firstLine="567"/>
        <w:rPr>
          <w:b/>
          <w:i/>
          <w:iCs/>
          <w:sz w:val="22"/>
        </w:rPr>
      </w:pPr>
      <w:r>
        <w:rPr>
          <w:i/>
          <w:iCs/>
          <w:sz w:val="22"/>
        </w:rPr>
        <w:t xml:space="preserve"> </w:t>
      </w:r>
      <w:bookmarkStart w:id="0" w:name="_GoBack"/>
      <w:bookmarkEnd w:id="0"/>
      <w:r w:rsidRPr="008A1BFA">
        <w:rPr>
          <w:b/>
          <w:i/>
          <w:iCs/>
          <w:sz w:val="22"/>
        </w:rPr>
        <w:t>DĖL ATSAKYMO Į PAKLAUSIMĄ</w:t>
      </w:r>
    </w:p>
    <w:p w:rsidR="00B26164" w:rsidRPr="008A1BFA" w:rsidRDefault="00B26164" w:rsidP="00B26164">
      <w:pPr>
        <w:pStyle w:val="Betarp"/>
        <w:tabs>
          <w:tab w:val="left" w:pos="993"/>
        </w:tabs>
        <w:ind w:firstLine="567"/>
        <w:jc w:val="both"/>
        <w:rPr>
          <w:i/>
          <w:sz w:val="22"/>
        </w:rPr>
      </w:pPr>
      <w:r w:rsidRPr="008A1BFA">
        <w:rPr>
          <w:i/>
          <w:noProof/>
          <w:sz w:val="22"/>
        </w:rPr>
        <w:t xml:space="preserve"> </w:t>
      </w:r>
      <w:r w:rsidRPr="008A1BFA">
        <w:rPr>
          <w:i/>
          <w:sz w:val="22"/>
        </w:rPr>
        <w:t>Informuojame, kad Pirkime gautas tiekėjo paklausimas:</w:t>
      </w:r>
    </w:p>
    <w:p w:rsidR="00B26164" w:rsidRPr="008A1BFA" w:rsidRDefault="00B26164" w:rsidP="00B26164">
      <w:pPr>
        <w:pStyle w:val="Betarp"/>
        <w:tabs>
          <w:tab w:val="left" w:pos="993"/>
        </w:tabs>
        <w:ind w:firstLine="567"/>
        <w:jc w:val="both"/>
        <w:rPr>
          <w:i/>
          <w:sz w:val="22"/>
        </w:rPr>
      </w:pPr>
    </w:p>
    <w:p w:rsidR="00B26164" w:rsidRPr="008A1BFA" w:rsidRDefault="00B26164" w:rsidP="00B26164">
      <w:pPr>
        <w:pStyle w:val="Betarp"/>
        <w:tabs>
          <w:tab w:val="left" w:pos="993"/>
        </w:tabs>
        <w:ind w:firstLine="567"/>
        <w:jc w:val="both"/>
        <w:rPr>
          <w:i/>
          <w:sz w:val="22"/>
        </w:rPr>
      </w:pPr>
      <w:r w:rsidRPr="008A1BFA">
        <w:rPr>
          <w:b/>
          <w:i/>
          <w:sz w:val="22"/>
        </w:rPr>
        <w:t xml:space="preserve">1 Tiekėjo klausimas </w:t>
      </w:r>
      <w:r w:rsidRPr="008A1BFA">
        <w:rPr>
          <w:i/>
          <w:sz w:val="22"/>
        </w:rPr>
        <w:t>(tekstas neredaguotas)</w:t>
      </w:r>
    </w:p>
    <w:p w:rsidR="00B26164" w:rsidRPr="008A1BFA" w:rsidRDefault="00B26164" w:rsidP="00B26164">
      <w:pPr>
        <w:pStyle w:val="Betarp"/>
        <w:tabs>
          <w:tab w:val="left" w:pos="993"/>
        </w:tabs>
        <w:ind w:firstLine="567"/>
        <w:jc w:val="both"/>
        <w:rPr>
          <w:b/>
          <w:i/>
          <w:sz w:val="22"/>
        </w:rPr>
      </w:pPr>
      <w:r w:rsidRPr="008A1BFA">
        <w:rPr>
          <w:i/>
          <w:sz w:val="22"/>
        </w:rPr>
        <w:t>Klausimas dėl pirkimo dokumentų Specialiųjų sąlygų (toliau – SS) 7.8 p.:</w:t>
      </w:r>
    </w:p>
    <w:p w:rsidR="00B26164" w:rsidRPr="008A1BFA" w:rsidRDefault="00B26164" w:rsidP="00B26164">
      <w:pPr>
        <w:pStyle w:val="Betarp"/>
        <w:tabs>
          <w:tab w:val="left" w:pos="993"/>
        </w:tabs>
        <w:ind w:firstLine="567"/>
        <w:rPr>
          <w:i/>
          <w:sz w:val="22"/>
        </w:rPr>
      </w:pPr>
      <w:r w:rsidRPr="008A1BFA">
        <w:rPr>
          <w:i/>
          <w:sz w:val="22"/>
        </w:rPr>
        <w:t>„Reikalinga techninė korekcija, nes šiame punkte minimas garantijos dydis neatitinka nurodyto 7.7 p.“</w:t>
      </w:r>
    </w:p>
    <w:p w:rsidR="00B26164" w:rsidRPr="008A1BFA" w:rsidRDefault="00B26164" w:rsidP="00B26164">
      <w:pPr>
        <w:pStyle w:val="Betarp"/>
        <w:tabs>
          <w:tab w:val="left" w:pos="993"/>
        </w:tabs>
        <w:ind w:firstLine="567"/>
        <w:rPr>
          <w:i/>
          <w:sz w:val="22"/>
        </w:rPr>
      </w:pPr>
    </w:p>
    <w:p w:rsidR="00B26164" w:rsidRPr="008A1BFA" w:rsidRDefault="00B26164" w:rsidP="00B26164">
      <w:pPr>
        <w:pStyle w:val="Betarp"/>
        <w:tabs>
          <w:tab w:val="left" w:pos="993"/>
        </w:tabs>
        <w:ind w:firstLine="567"/>
        <w:jc w:val="both"/>
        <w:rPr>
          <w:b/>
          <w:i/>
          <w:sz w:val="22"/>
        </w:rPr>
      </w:pPr>
      <w:r w:rsidRPr="008A1BFA">
        <w:rPr>
          <w:b/>
          <w:i/>
          <w:sz w:val="22"/>
        </w:rPr>
        <w:t>Atsakymas</w:t>
      </w:r>
    </w:p>
    <w:p w:rsidR="00B26164" w:rsidRPr="008A1BFA" w:rsidRDefault="00B26164" w:rsidP="00B26164">
      <w:pPr>
        <w:pStyle w:val="Betarp"/>
        <w:tabs>
          <w:tab w:val="left" w:pos="993"/>
        </w:tabs>
        <w:ind w:firstLine="567"/>
        <w:jc w:val="both"/>
        <w:rPr>
          <w:i/>
          <w:sz w:val="22"/>
        </w:rPr>
      </w:pPr>
      <w:r w:rsidRPr="008A1BFA">
        <w:rPr>
          <w:i/>
          <w:sz w:val="22"/>
        </w:rPr>
        <w:t>7.8 p. yra techninė klaida, turi būti „&lt;...&gt; sumą (kuri negali būti mažesnė nei 3 (trys) procentai nuo visos sutarties kainos be PVM (Eur))“. Atitinkamai 7.8 p. išdėstomas nauja redakcija:</w:t>
      </w:r>
    </w:p>
    <w:p w:rsidR="00B26164" w:rsidRPr="008A1BFA" w:rsidRDefault="00B26164" w:rsidP="00B26164">
      <w:pPr>
        <w:pStyle w:val="Betarp"/>
        <w:tabs>
          <w:tab w:val="left" w:pos="993"/>
        </w:tabs>
        <w:ind w:firstLine="567"/>
        <w:jc w:val="both"/>
        <w:rPr>
          <w:i/>
          <w:sz w:val="22"/>
        </w:rPr>
      </w:pPr>
      <w:r w:rsidRPr="008A1BFA">
        <w:rPr>
          <w:i/>
          <w:sz w:val="22"/>
        </w:rPr>
        <w:t>7.8.</w:t>
      </w:r>
      <w:r w:rsidRPr="008A1BFA">
        <w:rPr>
          <w:i/>
          <w:sz w:val="22"/>
        </w:rPr>
        <w:tab/>
        <w:t>&lt;....&gt;Sutarties įvykdymo užtikrinimas turi užtikrinti, kad per 10 (dešimt) darbo dienų pagal pirmą Perkančiosios organizacijos rašytinį reikalavimą Sutarties įvykdymo užtikrinimą išdavęs bankas sumokės Perkančiajai organizacijai visą Perkančiosios organizacijos nurodytą sumą (kuri negali būti mažesnė nei 3 (trys) procentai nuo visos sutarties kainos be PVM (Eur)), jeigu tiekėjas nevykdys ar netinkamai vykdys Sutartyje numatytus reikalavimus. Numatyta Sutarties įvykdymo užtikrinime suma yra minimalūs ir pagrįsti Perkančiosios organizacijos nuostoliai, kurių įrodinėti nereikia ir yra atlyginami Perkančiajai organizacijai pareikalavus.</w:t>
      </w:r>
    </w:p>
    <w:p w:rsidR="00B26164" w:rsidRPr="008A1BFA" w:rsidRDefault="00B26164" w:rsidP="00B26164">
      <w:pPr>
        <w:pStyle w:val="Betarp"/>
        <w:tabs>
          <w:tab w:val="left" w:pos="993"/>
        </w:tabs>
        <w:ind w:firstLine="567"/>
        <w:jc w:val="both"/>
        <w:rPr>
          <w:i/>
          <w:sz w:val="22"/>
        </w:rPr>
      </w:pPr>
    </w:p>
    <w:p w:rsidR="00B26164" w:rsidRPr="008A1BFA" w:rsidRDefault="00B26164" w:rsidP="00B26164">
      <w:pPr>
        <w:pStyle w:val="Betarp"/>
        <w:tabs>
          <w:tab w:val="left" w:pos="993"/>
        </w:tabs>
        <w:ind w:firstLine="567"/>
        <w:jc w:val="both"/>
        <w:rPr>
          <w:i/>
          <w:sz w:val="22"/>
        </w:rPr>
      </w:pPr>
      <w:r w:rsidRPr="008A1BFA">
        <w:rPr>
          <w:b/>
          <w:i/>
          <w:sz w:val="22"/>
        </w:rPr>
        <w:t>2 Tiekėjo klausimas</w:t>
      </w:r>
      <w:r w:rsidRPr="008A1BFA">
        <w:rPr>
          <w:i/>
          <w:sz w:val="22"/>
        </w:rPr>
        <w:t xml:space="preserve"> (tekstas neredaguotas)</w:t>
      </w:r>
    </w:p>
    <w:p w:rsidR="00B26164" w:rsidRPr="008A1BFA" w:rsidRDefault="00B26164" w:rsidP="00B26164">
      <w:pPr>
        <w:pStyle w:val="Betarp"/>
        <w:tabs>
          <w:tab w:val="left" w:pos="993"/>
        </w:tabs>
        <w:ind w:firstLine="567"/>
        <w:jc w:val="both"/>
        <w:rPr>
          <w:i/>
          <w:sz w:val="22"/>
        </w:rPr>
      </w:pPr>
      <w:r w:rsidRPr="008A1BFA">
        <w:rPr>
          <w:i/>
          <w:sz w:val="22"/>
        </w:rPr>
        <w:t xml:space="preserve">Klausimas dėl  SS 7.14 p. </w:t>
      </w:r>
    </w:p>
    <w:p w:rsidR="00B26164" w:rsidRPr="008A1BFA" w:rsidRDefault="00B26164" w:rsidP="00B26164">
      <w:pPr>
        <w:pStyle w:val="Betarp"/>
        <w:tabs>
          <w:tab w:val="left" w:pos="993"/>
        </w:tabs>
        <w:ind w:firstLine="567"/>
        <w:jc w:val="both"/>
        <w:rPr>
          <w:i/>
          <w:sz w:val="22"/>
        </w:rPr>
      </w:pPr>
      <w:r w:rsidRPr="008A1BFA">
        <w:rPr>
          <w:i/>
          <w:sz w:val="22"/>
        </w:rPr>
        <w:t xml:space="preserve"> „Siūlytume PO šią dalį patikslinant, neįvardijant konkretaus termino, nes techniškai įmanomi pašalinimo terminai gali ženkliai skirtis atsižvelgiant į konkretaus trūkumo pobūdį“.</w:t>
      </w:r>
    </w:p>
    <w:p w:rsidR="00B26164" w:rsidRPr="008A1BFA" w:rsidRDefault="00B26164" w:rsidP="00B26164">
      <w:pPr>
        <w:pStyle w:val="Betarp"/>
        <w:tabs>
          <w:tab w:val="left" w:pos="993"/>
        </w:tabs>
        <w:ind w:firstLine="567"/>
        <w:jc w:val="both"/>
        <w:rPr>
          <w:i/>
          <w:sz w:val="22"/>
        </w:rPr>
      </w:pPr>
    </w:p>
    <w:p w:rsidR="00B26164" w:rsidRPr="008A1BFA" w:rsidRDefault="00B26164" w:rsidP="00B26164">
      <w:pPr>
        <w:pStyle w:val="Betarp"/>
        <w:tabs>
          <w:tab w:val="left" w:pos="993"/>
        </w:tabs>
        <w:ind w:firstLine="567"/>
        <w:jc w:val="both"/>
        <w:rPr>
          <w:i/>
          <w:sz w:val="22"/>
        </w:rPr>
      </w:pPr>
      <w:r w:rsidRPr="008A1BFA">
        <w:rPr>
          <w:b/>
          <w:i/>
          <w:sz w:val="22"/>
        </w:rPr>
        <w:t>Atsakymas.</w:t>
      </w:r>
      <w:r w:rsidRPr="008A1BFA">
        <w:rPr>
          <w:i/>
          <w:sz w:val="22"/>
        </w:rPr>
        <w:t xml:space="preserve"> Perkančioji organizacija nesutinka – 3 darbo dienų terminas trūkumams ištaisyti ir yra protingas terminas, nes paprastai trūkumai būna neesminiai ir smulkūs.</w:t>
      </w:r>
    </w:p>
    <w:p w:rsidR="00B26164" w:rsidRPr="008A1BFA" w:rsidRDefault="00B26164" w:rsidP="00B26164">
      <w:pPr>
        <w:pStyle w:val="Betarp"/>
        <w:tabs>
          <w:tab w:val="left" w:pos="993"/>
        </w:tabs>
        <w:ind w:firstLine="567"/>
        <w:jc w:val="both"/>
        <w:rPr>
          <w:i/>
          <w:sz w:val="22"/>
        </w:rPr>
      </w:pPr>
    </w:p>
    <w:p w:rsidR="00B26164" w:rsidRPr="008A1BFA" w:rsidRDefault="00B26164" w:rsidP="00B26164">
      <w:pPr>
        <w:pStyle w:val="Betarp"/>
        <w:tabs>
          <w:tab w:val="left" w:pos="993"/>
        </w:tabs>
        <w:ind w:firstLine="567"/>
        <w:jc w:val="both"/>
        <w:rPr>
          <w:i/>
          <w:sz w:val="22"/>
        </w:rPr>
      </w:pPr>
      <w:r w:rsidRPr="008A1BFA">
        <w:rPr>
          <w:b/>
          <w:i/>
          <w:sz w:val="22"/>
        </w:rPr>
        <w:t>3 Tiekėjo klausimas</w:t>
      </w:r>
      <w:r w:rsidRPr="008A1BFA">
        <w:rPr>
          <w:i/>
          <w:sz w:val="22"/>
        </w:rPr>
        <w:t xml:space="preserve"> (tekstas neredaguotas)</w:t>
      </w:r>
    </w:p>
    <w:p w:rsidR="00B26164" w:rsidRPr="008A1BFA" w:rsidRDefault="00B26164" w:rsidP="00B26164">
      <w:pPr>
        <w:pStyle w:val="Betarp"/>
        <w:tabs>
          <w:tab w:val="left" w:pos="993"/>
        </w:tabs>
        <w:ind w:firstLine="567"/>
        <w:jc w:val="both"/>
        <w:rPr>
          <w:i/>
          <w:sz w:val="22"/>
        </w:rPr>
      </w:pPr>
      <w:r w:rsidRPr="008A1BFA">
        <w:rPr>
          <w:i/>
          <w:sz w:val="22"/>
        </w:rPr>
        <w:t xml:space="preserve">Klausimas dėl  SS 7.31 p. </w:t>
      </w:r>
    </w:p>
    <w:p w:rsidR="00B26164" w:rsidRPr="008A1BFA" w:rsidRDefault="00B26164" w:rsidP="00B26164">
      <w:pPr>
        <w:pStyle w:val="Betarp"/>
        <w:tabs>
          <w:tab w:val="left" w:pos="993"/>
        </w:tabs>
        <w:ind w:firstLine="567"/>
        <w:jc w:val="both"/>
        <w:rPr>
          <w:i/>
          <w:sz w:val="22"/>
        </w:rPr>
      </w:pPr>
      <w:r w:rsidRPr="008A1BFA">
        <w:rPr>
          <w:i/>
          <w:sz w:val="22"/>
        </w:rPr>
        <w:t>„Siekiant suvaldyti veiklos riziką, visais atsakomybės taikomo atvejais privalome turėti kuo aiškesnes atsakomybės ribas. Atsižvelgiant į tai, siūlome PO šį punktą patikslinti, įtraukiant korekcijas dėl nuostolių tipo ir atlygintino dydžio apibrėžimo.“</w:t>
      </w:r>
    </w:p>
    <w:p w:rsidR="00B26164" w:rsidRPr="008A1BFA" w:rsidRDefault="00B26164" w:rsidP="00B26164">
      <w:pPr>
        <w:pStyle w:val="Betarp"/>
        <w:tabs>
          <w:tab w:val="left" w:pos="993"/>
        </w:tabs>
        <w:ind w:firstLine="567"/>
        <w:jc w:val="both"/>
        <w:rPr>
          <w:i/>
          <w:sz w:val="22"/>
        </w:rPr>
      </w:pPr>
    </w:p>
    <w:p w:rsidR="00B26164" w:rsidRPr="008A1BFA" w:rsidRDefault="00B26164" w:rsidP="00B26164">
      <w:pPr>
        <w:pStyle w:val="Betarp"/>
        <w:tabs>
          <w:tab w:val="left" w:pos="993"/>
        </w:tabs>
        <w:ind w:firstLine="567"/>
        <w:jc w:val="both"/>
        <w:rPr>
          <w:i/>
          <w:sz w:val="22"/>
        </w:rPr>
      </w:pPr>
      <w:r w:rsidRPr="008A1BFA">
        <w:rPr>
          <w:b/>
          <w:i/>
          <w:sz w:val="22"/>
        </w:rPr>
        <w:t>Atsakymas.</w:t>
      </w:r>
      <w:r w:rsidRPr="008A1BFA">
        <w:rPr>
          <w:i/>
          <w:sz w:val="22"/>
        </w:rPr>
        <w:t xml:space="preserve"> Perkančioji organizacija atsižvelgė į tiekėjo pastabą ir nutarė papildyti SS </w:t>
      </w:r>
      <w:r>
        <w:rPr>
          <w:i/>
          <w:sz w:val="22"/>
        </w:rPr>
        <w:t xml:space="preserve">7.55 </w:t>
      </w:r>
      <w:r w:rsidRPr="00F16391">
        <w:rPr>
          <w:i/>
          <w:sz w:val="22"/>
        </w:rPr>
        <w:t xml:space="preserve">papunkčiu, </w:t>
      </w:r>
      <w:r w:rsidRPr="008A1BFA">
        <w:rPr>
          <w:i/>
          <w:sz w:val="22"/>
        </w:rPr>
        <w:t xml:space="preserve">apribojančiu tiek tiekėjo, tiek perkančiosios organizacijos atsakomybę: </w:t>
      </w:r>
    </w:p>
    <w:p w:rsidR="00B26164" w:rsidRPr="008A1BFA" w:rsidRDefault="00B26164" w:rsidP="00B26164">
      <w:pPr>
        <w:pStyle w:val="Betarp"/>
        <w:tabs>
          <w:tab w:val="left" w:pos="993"/>
        </w:tabs>
        <w:ind w:firstLine="567"/>
        <w:jc w:val="both"/>
        <w:rPr>
          <w:i/>
          <w:sz w:val="22"/>
        </w:rPr>
      </w:pPr>
      <w:r w:rsidRPr="008A1BFA">
        <w:rPr>
          <w:i/>
          <w:sz w:val="22"/>
        </w:rPr>
        <w:t>„Tiesioginių nuostolių atlyginimas negali būti didesnis kaip Sutarties kaina be PVM (pasiūlymo kaina be PVM). Šalys neatlygina viena kitai jokių netiesioginių nuostolių. Šioje Sutartyje nuostolių apribojimai netaikomi esant Šalies tyčiai ir dideliam neatsargumui (LR CK 6.252 str. 1 d.)“</w:t>
      </w:r>
    </w:p>
    <w:p w:rsidR="00B26164" w:rsidRPr="008A1BFA" w:rsidRDefault="00B26164" w:rsidP="00B26164">
      <w:pPr>
        <w:pStyle w:val="Betarp"/>
        <w:tabs>
          <w:tab w:val="left" w:pos="993"/>
        </w:tabs>
        <w:ind w:firstLine="567"/>
        <w:jc w:val="both"/>
        <w:rPr>
          <w:i/>
          <w:sz w:val="22"/>
        </w:rPr>
      </w:pPr>
      <w:r w:rsidRPr="008A1BFA">
        <w:rPr>
          <w:i/>
          <w:sz w:val="22"/>
        </w:rPr>
        <w:t xml:space="preserve">Pažymime, kad sutartinių sąlygų papildymu yra apribojama šalių atsakomybė už tiesioginius nuostolius konkrečiu dydžiu (Sutarties kaina be PVM (pasiūlymo kaina be PVM)) bei numatoma, kad netiesioginiai nuostoliai nėra atlyginami, išskyrus LR CK nustatytus atvejus. Šiuo papildymu tiek perkančiajai organizacijai, tiek tiekėjui yra nustatomos tapačios sąlygos. Šalių teisių ir pareigų pusiausvyra nepakinta. </w:t>
      </w:r>
    </w:p>
    <w:p w:rsidR="00B26164" w:rsidRPr="008A1BFA" w:rsidRDefault="00B26164" w:rsidP="00B26164">
      <w:pPr>
        <w:pStyle w:val="Betarp"/>
        <w:tabs>
          <w:tab w:val="left" w:pos="993"/>
        </w:tabs>
        <w:ind w:firstLine="567"/>
        <w:jc w:val="both"/>
        <w:rPr>
          <w:i/>
          <w:sz w:val="22"/>
        </w:rPr>
      </w:pPr>
    </w:p>
    <w:p w:rsidR="00B26164" w:rsidRPr="008A1BFA" w:rsidRDefault="00B26164" w:rsidP="00B26164">
      <w:pPr>
        <w:pStyle w:val="Betarp"/>
        <w:tabs>
          <w:tab w:val="left" w:pos="993"/>
        </w:tabs>
        <w:ind w:firstLine="567"/>
        <w:jc w:val="both"/>
        <w:rPr>
          <w:i/>
          <w:sz w:val="22"/>
        </w:rPr>
      </w:pPr>
      <w:r w:rsidRPr="008A1BFA">
        <w:rPr>
          <w:b/>
          <w:i/>
          <w:sz w:val="22"/>
        </w:rPr>
        <w:t>4 Tiekėjo klausimas</w:t>
      </w:r>
      <w:r w:rsidRPr="008A1BFA">
        <w:rPr>
          <w:i/>
          <w:sz w:val="22"/>
        </w:rPr>
        <w:t xml:space="preserve"> (tekstas neredaguotas)</w:t>
      </w:r>
    </w:p>
    <w:p w:rsidR="00B26164" w:rsidRPr="008A1BFA" w:rsidRDefault="00B26164" w:rsidP="00B26164">
      <w:pPr>
        <w:pStyle w:val="Betarp"/>
        <w:tabs>
          <w:tab w:val="left" w:pos="993"/>
        </w:tabs>
        <w:ind w:firstLine="567"/>
        <w:jc w:val="both"/>
        <w:rPr>
          <w:i/>
          <w:sz w:val="22"/>
        </w:rPr>
      </w:pPr>
      <w:r w:rsidRPr="008A1BFA">
        <w:rPr>
          <w:i/>
          <w:sz w:val="22"/>
        </w:rPr>
        <w:t xml:space="preserve">Klausimas dėl  SS 7.32 p. </w:t>
      </w:r>
    </w:p>
    <w:p w:rsidR="00B26164" w:rsidRPr="008A1BFA" w:rsidRDefault="00B26164" w:rsidP="00B26164">
      <w:pPr>
        <w:pStyle w:val="Betarp"/>
        <w:tabs>
          <w:tab w:val="left" w:pos="993"/>
        </w:tabs>
        <w:ind w:firstLine="567"/>
        <w:jc w:val="both"/>
        <w:rPr>
          <w:i/>
          <w:sz w:val="22"/>
        </w:rPr>
      </w:pPr>
      <w:r w:rsidRPr="008A1BFA">
        <w:rPr>
          <w:i/>
          <w:sz w:val="22"/>
        </w:rPr>
        <w:t>„Prašome PO patikslinti, ar teikiant šiame pirkime apibrėžtas paslaugas tiekėjui bus suteikiama prieiga prie PO valdomų asmens duomenų? Jei taip, prašome papildomai pateikti susipažinimui ir suderinimui asmens duomenų tvarkymo sutarties projektą.“</w:t>
      </w:r>
    </w:p>
    <w:p w:rsidR="00B26164" w:rsidRPr="008A1BFA" w:rsidRDefault="00B26164" w:rsidP="00B26164">
      <w:pPr>
        <w:pStyle w:val="Betarp"/>
        <w:tabs>
          <w:tab w:val="left" w:pos="993"/>
        </w:tabs>
        <w:ind w:firstLine="567"/>
        <w:jc w:val="both"/>
        <w:rPr>
          <w:i/>
          <w:sz w:val="22"/>
        </w:rPr>
      </w:pPr>
    </w:p>
    <w:p w:rsidR="00B26164" w:rsidRPr="008A1BFA" w:rsidRDefault="00B26164" w:rsidP="00B26164">
      <w:pPr>
        <w:pStyle w:val="Betarp"/>
        <w:tabs>
          <w:tab w:val="left" w:pos="993"/>
        </w:tabs>
        <w:ind w:firstLine="567"/>
        <w:jc w:val="both"/>
        <w:rPr>
          <w:i/>
          <w:sz w:val="22"/>
        </w:rPr>
      </w:pPr>
      <w:r w:rsidRPr="008A1BFA">
        <w:rPr>
          <w:b/>
          <w:i/>
          <w:sz w:val="22"/>
        </w:rPr>
        <w:t>Atsakymas.</w:t>
      </w:r>
      <w:r w:rsidRPr="008A1BFA">
        <w:rPr>
          <w:i/>
          <w:sz w:val="22"/>
        </w:rPr>
        <w:t xml:space="preserve"> Paslaugų teikimo metu tiekėjo darbuotojams nebus suteikta prieiga prie perkančiosios organizacijos tvarkomų informacinių sistemų ir registrų realių aplinkų, tai yra tiekėjui nebus suteikta prieiga prie perkančiosios organizacijos valdomų asmens duomenų.</w:t>
      </w:r>
    </w:p>
    <w:p w:rsidR="00B26164" w:rsidRPr="008A1BFA" w:rsidRDefault="00B26164" w:rsidP="00B26164">
      <w:pPr>
        <w:pStyle w:val="Betarp"/>
        <w:tabs>
          <w:tab w:val="left" w:pos="993"/>
          <w:tab w:val="left" w:pos="1134"/>
        </w:tabs>
        <w:jc w:val="both"/>
        <w:rPr>
          <w:i/>
          <w:sz w:val="22"/>
        </w:rPr>
      </w:pPr>
    </w:p>
    <w:p w:rsidR="00B26164" w:rsidRPr="008A1BFA" w:rsidRDefault="00B26164" w:rsidP="00B26164">
      <w:pPr>
        <w:pStyle w:val="Betarp"/>
        <w:tabs>
          <w:tab w:val="left" w:pos="993"/>
        </w:tabs>
        <w:ind w:firstLine="567"/>
        <w:jc w:val="both"/>
        <w:rPr>
          <w:i/>
          <w:sz w:val="22"/>
        </w:rPr>
      </w:pPr>
      <w:r w:rsidRPr="008A1BFA">
        <w:rPr>
          <w:b/>
          <w:i/>
          <w:sz w:val="22"/>
        </w:rPr>
        <w:t>5 Tiekėjo klausimas</w:t>
      </w:r>
      <w:r w:rsidRPr="008A1BFA">
        <w:rPr>
          <w:i/>
          <w:sz w:val="22"/>
        </w:rPr>
        <w:t xml:space="preserve"> (tekstas neredaguotas)</w:t>
      </w:r>
    </w:p>
    <w:p w:rsidR="00B26164" w:rsidRPr="008A1BFA" w:rsidRDefault="00B26164" w:rsidP="00B26164">
      <w:pPr>
        <w:pStyle w:val="Betarp"/>
        <w:tabs>
          <w:tab w:val="left" w:pos="993"/>
        </w:tabs>
        <w:ind w:firstLine="567"/>
        <w:jc w:val="both"/>
        <w:rPr>
          <w:i/>
          <w:sz w:val="22"/>
        </w:rPr>
      </w:pPr>
      <w:r w:rsidRPr="008A1BFA">
        <w:rPr>
          <w:i/>
          <w:sz w:val="22"/>
        </w:rPr>
        <w:t xml:space="preserve">Klausimas dėl  SS 7.39 p. </w:t>
      </w:r>
    </w:p>
    <w:p w:rsidR="00B26164" w:rsidRPr="008A1BFA" w:rsidRDefault="00B26164" w:rsidP="00B26164">
      <w:pPr>
        <w:pStyle w:val="Betarp"/>
        <w:tabs>
          <w:tab w:val="left" w:pos="993"/>
        </w:tabs>
        <w:ind w:firstLine="567"/>
        <w:jc w:val="both"/>
        <w:rPr>
          <w:i/>
          <w:sz w:val="22"/>
        </w:rPr>
      </w:pPr>
      <w:r w:rsidRPr="008A1BFA">
        <w:rPr>
          <w:i/>
          <w:sz w:val="22"/>
        </w:rPr>
        <w:lastRenderedPageBreak/>
        <w:t>„Prašome PO įtraukti korekciją dėl vienašališko sutarties nutraukimo tiekėjo iniciatyva pasekmių. Pažymime, kad šis nutraukimo pagrindas nėra siejamas su teikėjo kalte, todėl visiško nuostolių atlyginimo reikalavimas šiuo atveju nėra pagrįstas.“</w:t>
      </w:r>
    </w:p>
    <w:p w:rsidR="00B26164" w:rsidRPr="008A1BFA" w:rsidRDefault="00B26164" w:rsidP="00B26164">
      <w:pPr>
        <w:pStyle w:val="Betarp"/>
        <w:tabs>
          <w:tab w:val="left" w:pos="993"/>
        </w:tabs>
        <w:ind w:firstLine="567"/>
        <w:jc w:val="both"/>
        <w:rPr>
          <w:i/>
          <w:sz w:val="22"/>
        </w:rPr>
      </w:pPr>
    </w:p>
    <w:p w:rsidR="00B26164" w:rsidRDefault="00B26164" w:rsidP="00B26164">
      <w:pPr>
        <w:pStyle w:val="Numberedlist22"/>
        <w:widowControl w:val="0"/>
        <w:numPr>
          <w:ilvl w:val="0"/>
          <w:numId w:val="0"/>
        </w:numPr>
        <w:autoSpaceDE w:val="0"/>
        <w:autoSpaceDN w:val="0"/>
        <w:adjustRightInd w:val="0"/>
        <w:ind w:firstLine="567"/>
        <w:jc w:val="both"/>
        <w:rPr>
          <w:rFonts w:eastAsia="Calibri"/>
          <w:i/>
          <w:sz w:val="22"/>
          <w:szCs w:val="22"/>
          <w:lang w:val="lt-LT"/>
        </w:rPr>
      </w:pPr>
      <w:proofErr w:type="spellStart"/>
      <w:r w:rsidRPr="008A1BFA">
        <w:rPr>
          <w:b/>
          <w:i/>
          <w:sz w:val="22"/>
          <w:szCs w:val="22"/>
        </w:rPr>
        <w:t>Atsakymas</w:t>
      </w:r>
      <w:proofErr w:type="spellEnd"/>
      <w:r w:rsidRPr="008A1BFA">
        <w:rPr>
          <w:b/>
          <w:i/>
          <w:sz w:val="22"/>
          <w:szCs w:val="22"/>
        </w:rPr>
        <w:t xml:space="preserve">. </w:t>
      </w:r>
      <w:r w:rsidRPr="008A1BFA">
        <w:rPr>
          <w:rFonts w:eastAsia="Calibri"/>
          <w:i/>
          <w:sz w:val="22"/>
          <w:szCs w:val="22"/>
          <w:lang w:val="lt-LT"/>
        </w:rPr>
        <w:t>Nesutinkame.</w:t>
      </w:r>
      <w:r w:rsidRPr="008A1BFA">
        <w:rPr>
          <w:rFonts w:eastAsia="Calibri"/>
          <w:b/>
          <w:i/>
          <w:sz w:val="22"/>
          <w:szCs w:val="22"/>
          <w:lang w:val="lt-LT"/>
        </w:rPr>
        <w:t xml:space="preserve"> </w:t>
      </w:r>
      <w:r w:rsidRPr="008A1BFA">
        <w:rPr>
          <w:rFonts w:eastAsia="Calibri"/>
          <w:i/>
          <w:sz w:val="22"/>
          <w:szCs w:val="22"/>
          <w:lang w:val="lt-LT"/>
        </w:rPr>
        <w:t>Paslaugos yra perduodamos SS 7.13 ir 7.14 papunkčiuose nustatyta tvarka, taigi pasiūlymas perduoti paslaugų dalį neatitinka minėtų sutartinių sąlygų papunkčių reikalavimų, nes suteiktos paslaugos jau turi būti perduotos minėtuose papunkčiuose nustatyta tvarka. Atsižvelgiant į sutartinių sąlygų papildymą nuostata dėl nuostolių atlyginimo (žr. atsakymą į 3 klausimą), toks papildymas nėra tikslingas, nes nuostoliai, šiuos punktus vertinant sistemiškai, ir bus perkančiosios organizacijos patirtos tiesioginės išlaidos.</w:t>
      </w:r>
    </w:p>
    <w:p w:rsidR="00B26164" w:rsidRDefault="00B26164" w:rsidP="00B26164">
      <w:pPr>
        <w:pStyle w:val="Numberedlist22"/>
        <w:widowControl w:val="0"/>
        <w:numPr>
          <w:ilvl w:val="0"/>
          <w:numId w:val="0"/>
        </w:numPr>
        <w:autoSpaceDE w:val="0"/>
        <w:autoSpaceDN w:val="0"/>
        <w:adjustRightInd w:val="0"/>
        <w:ind w:firstLine="567"/>
        <w:jc w:val="both"/>
        <w:rPr>
          <w:rFonts w:eastAsia="Calibri"/>
          <w:i/>
          <w:sz w:val="22"/>
          <w:szCs w:val="22"/>
          <w:lang w:val="lt-LT"/>
        </w:rPr>
      </w:pPr>
    </w:p>
    <w:p w:rsidR="00B26164" w:rsidRPr="008A1BFA" w:rsidRDefault="00B26164" w:rsidP="00B26164">
      <w:pPr>
        <w:pStyle w:val="Numberedlist22"/>
        <w:widowControl w:val="0"/>
        <w:numPr>
          <w:ilvl w:val="0"/>
          <w:numId w:val="0"/>
        </w:numPr>
        <w:autoSpaceDE w:val="0"/>
        <w:autoSpaceDN w:val="0"/>
        <w:adjustRightInd w:val="0"/>
        <w:ind w:firstLine="567"/>
        <w:jc w:val="both"/>
        <w:rPr>
          <w:rFonts w:eastAsia="Calibri"/>
          <w:sz w:val="22"/>
          <w:szCs w:val="22"/>
          <w:lang w:val="lt-LT"/>
        </w:rPr>
      </w:pPr>
      <w:r>
        <w:rPr>
          <w:rFonts w:eastAsia="Calibri"/>
          <w:i/>
          <w:sz w:val="22"/>
          <w:szCs w:val="22"/>
          <w:lang w:val="lt-LT"/>
        </w:rPr>
        <w:t>Atitinkamai pateikiama pirkimo dokumentų SS aktuali redakcija.</w:t>
      </w:r>
    </w:p>
    <w:p w:rsidR="001B440A" w:rsidRDefault="001B440A"/>
    <w:sectPr w:rsidR="001B440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8551CC"/>
    <w:multiLevelType w:val="multilevel"/>
    <w:tmpl w:val="FE500198"/>
    <w:lvl w:ilvl="0">
      <w:start w:val="1"/>
      <w:numFmt w:val="decimal"/>
      <w:pStyle w:val="Numberedlist22"/>
      <w:lvlText w:val="%1."/>
      <w:lvlJc w:val="left"/>
      <w:pPr>
        <w:tabs>
          <w:tab w:val="num" w:pos="1512"/>
        </w:tabs>
      </w:pPr>
      <w:rPr>
        <w:rFonts w:cs="Times New Roman"/>
      </w:rPr>
    </w:lvl>
    <w:lvl w:ilvl="1">
      <w:start w:val="1"/>
      <w:numFmt w:val="decimal"/>
      <w:lvlText w:val="%1.%2."/>
      <w:lvlJc w:val="left"/>
      <w:pPr>
        <w:tabs>
          <w:tab w:val="num" w:pos="2937"/>
        </w:tabs>
      </w:pPr>
      <w:rPr>
        <w:rFonts w:cs="Times New Roman"/>
        <w:i w:val="0"/>
      </w:rPr>
    </w:lvl>
    <w:lvl w:ilvl="2">
      <w:start w:val="1"/>
      <w:numFmt w:val="decimal"/>
      <w:lvlText w:val="%1.%2.%3."/>
      <w:lvlJc w:val="left"/>
      <w:pPr>
        <w:tabs>
          <w:tab w:val="num" w:pos="3086"/>
        </w:tabs>
      </w:pPr>
      <w:rPr>
        <w:rFonts w:cs="Times New Roman"/>
      </w:rPr>
    </w:lvl>
    <w:lvl w:ilvl="3">
      <w:start w:val="1"/>
      <w:numFmt w:val="decimal"/>
      <w:lvlText w:val="%1.%2.%3.%4."/>
      <w:lvlJc w:val="left"/>
      <w:pPr>
        <w:tabs>
          <w:tab w:val="num" w:pos="4371"/>
        </w:tabs>
      </w:pPr>
      <w:rPr>
        <w:rFonts w:cs="Times New Roman"/>
      </w:rPr>
    </w:lvl>
    <w:lvl w:ilvl="4">
      <w:start w:val="1"/>
      <w:numFmt w:val="decimal"/>
      <w:lvlText w:val="%1.%2.%3.%4.%5."/>
      <w:lvlJc w:val="left"/>
      <w:pPr>
        <w:tabs>
          <w:tab w:val="num" w:pos="3672"/>
        </w:tabs>
      </w:pPr>
      <w:rPr>
        <w:rFonts w:cs="Times New Roman"/>
      </w:rPr>
    </w:lvl>
    <w:lvl w:ilvl="5">
      <w:start w:val="1"/>
      <w:numFmt w:val="decimal"/>
      <w:lvlText w:val="%1.%2.%3.%4.%5.%6."/>
      <w:lvlJc w:val="left"/>
      <w:pPr>
        <w:tabs>
          <w:tab w:val="num" w:pos="4032"/>
        </w:tabs>
      </w:pPr>
      <w:rPr>
        <w:rFonts w:cs="Times New Roman"/>
      </w:rPr>
    </w:lvl>
    <w:lvl w:ilvl="6">
      <w:start w:val="1"/>
      <w:numFmt w:val="decimal"/>
      <w:lvlText w:val="%1.%2.%3.%4.%5.%6.%7."/>
      <w:lvlJc w:val="left"/>
      <w:pPr>
        <w:tabs>
          <w:tab w:val="num" w:pos="4752"/>
        </w:tabs>
      </w:pPr>
      <w:rPr>
        <w:rFonts w:cs="Times New Roman"/>
      </w:rPr>
    </w:lvl>
    <w:lvl w:ilvl="7">
      <w:start w:val="1"/>
      <w:numFmt w:val="decimal"/>
      <w:lvlText w:val="%1.%2.%3.%4.%5.%6.%7.%8."/>
      <w:lvlJc w:val="left"/>
      <w:pPr>
        <w:tabs>
          <w:tab w:val="num" w:pos="5112"/>
        </w:tabs>
      </w:pPr>
      <w:rPr>
        <w:rFonts w:cs="Times New Roman"/>
      </w:rPr>
    </w:lvl>
    <w:lvl w:ilvl="8">
      <w:start w:val="1"/>
      <w:numFmt w:val="decimal"/>
      <w:lvlText w:val="%1.%2.%3.%4.%5.%6.%7.%8.%9."/>
      <w:lvlJc w:val="left"/>
      <w:pPr>
        <w:tabs>
          <w:tab w:val="num" w:pos="583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901"/>
    <w:rsid w:val="001B440A"/>
    <w:rsid w:val="00B26164"/>
    <w:rsid w:val="00EA79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F28B4-556B-45BE-9DDC-D63F98AD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6164"/>
    <w:pPr>
      <w:spacing w:after="0" w:line="360" w:lineRule="auto"/>
      <w:jc w:val="both"/>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99"/>
    <w:qFormat/>
    <w:rsid w:val="00B26164"/>
    <w:pPr>
      <w:spacing w:after="0" w:line="240" w:lineRule="auto"/>
    </w:pPr>
    <w:rPr>
      <w:rFonts w:ascii="Times New Roman" w:eastAsia="Calibri" w:hAnsi="Times New Roman" w:cs="Times New Roman"/>
      <w:sz w:val="24"/>
    </w:rPr>
  </w:style>
  <w:style w:type="paragraph" w:customStyle="1" w:styleId="Numberedlist22">
    <w:name w:val="Numbered list 2.2"/>
    <w:basedOn w:val="prastasis"/>
    <w:rsid w:val="00B26164"/>
    <w:pPr>
      <w:numPr>
        <w:numId w:val="1"/>
      </w:numPr>
      <w:spacing w:line="240" w:lineRule="auto"/>
      <w:ind w:firstLine="720"/>
      <w:jc w:val="left"/>
    </w:pPr>
    <w:rPr>
      <w:rFonts w:eastAsia="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2724</Words>
  <Characters>1553</Characters>
  <Application>Microsoft Office Word</Application>
  <DocSecurity>0</DocSecurity>
  <Lines>12</Lines>
  <Paragraphs>8</Paragraphs>
  <ScaleCrop>false</ScaleCrop>
  <Company>IRD prie VRM</Company>
  <LinksUpToDate>false</LinksUpToDate>
  <CharactersWithSpaces>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Barsulytė-Girgždienė</dc:creator>
  <cp:keywords/>
  <dc:description/>
  <cp:lastModifiedBy>Jūratė Barsulytė-Girgždienė</cp:lastModifiedBy>
  <cp:revision>2</cp:revision>
  <dcterms:created xsi:type="dcterms:W3CDTF">2021-12-20T13:40:00Z</dcterms:created>
  <dcterms:modified xsi:type="dcterms:W3CDTF">2021-12-20T13:40:00Z</dcterms:modified>
</cp:coreProperties>
</file>