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FF12" w14:textId="18B7E42B" w:rsidR="00615C96" w:rsidRPr="00615C96" w:rsidRDefault="00615C96" w:rsidP="00615C96">
      <w:pPr>
        <w:widowControl w:val="0"/>
        <w:ind w:left="6521"/>
        <w:rPr>
          <w:color w:val="000000"/>
          <w:szCs w:val="24"/>
          <w:lang w:eastAsia="lt-LT"/>
        </w:rPr>
      </w:pPr>
      <w:r w:rsidRPr="00615C96">
        <w:rPr>
          <w:color w:val="000000"/>
          <w:szCs w:val="24"/>
          <w:lang w:eastAsia="lt-LT"/>
        </w:rPr>
        <w:t>IT techninės įrangos pirkimo</w:t>
      </w:r>
      <w:r w:rsidR="0024762F">
        <w:rPr>
          <w:color w:val="000000"/>
          <w:szCs w:val="24"/>
          <w:lang w:eastAsia="lt-LT"/>
        </w:rPr>
        <w:t>–</w:t>
      </w:r>
      <w:r w:rsidRPr="00615C96">
        <w:rPr>
          <w:color w:val="000000"/>
          <w:szCs w:val="24"/>
          <w:lang w:eastAsia="lt-LT"/>
        </w:rPr>
        <w:t xml:space="preserve">pardavimo sutarties </w:t>
      </w:r>
    </w:p>
    <w:p w14:paraId="64FF3046" w14:textId="61B90FA6" w:rsidR="00615C96" w:rsidRPr="00615C96" w:rsidRDefault="00615C96" w:rsidP="00615C96">
      <w:pPr>
        <w:widowControl w:val="0"/>
        <w:ind w:left="6521" w:firstLine="1"/>
        <w:rPr>
          <w:color w:val="000000"/>
          <w:szCs w:val="24"/>
          <w:lang w:eastAsia="lt-LT"/>
        </w:rPr>
      </w:pPr>
      <w:r w:rsidRPr="00615C96">
        <w:rPr>
          <w:color w:val="000000"/>
          <w:szCs w:val="24"/>
          <w:lang w:eastAsia="lt-LT"/>
        </w:rPr>
        <w:t xml:space="preserve">Priedas Nr. </w:t>
      </w:r>
      <w:r w:rsidR="0024762F">
        <w:rPr>
          <w:color w:val="000000"/>
          <w:szCs w:val="24"/>
          <w:lang w:eastAsia="lt-LT"/>
        </w:rPr>
        <w:t>1</w:t>
      </w:r>
    </w:p>
    <w:p w14:paraId="4B321161" w14:textId="77777777" w:rsidR="00615C96" w:rsidRDefault="00615C96" w:rsidP="009D2021">
      <w:pPr>
        <w:rPr>
          <w:rFonts w:eastAsia="Calibri"/>
          <w:b/>
          <w:szCs w:val="24"/>
        </w:rPr>
      </w:pPr>
    </w:p>
    <w:p w14:paraId="46E203A5" w14:textId="77777777" w:rsidR="00615C96" w:rsidRDefault="00615C96" w:rsidP="009D2021">
      <w:pPr>
        <w:rPr>
          <w:rFonts w:eastAsia="Calibri"/>
          <w:b/>
          <w:szCs w:val="24"/>
        </w:rPr>
      </w:pPr>
    </w:p>
    <w:p w14:paraId="75083D34" w14:textId="40819947" w:rsidR="00BC044F" w:rsidRPr="00117B26" w:rsidRDefault="00A04D70" w:rsidP="00A04D70">
      <w:pPr>
        <w:jc w:val="center"/>
        <w:rPr>
          <w:szCs w:val="24"/>
        </w:rPr>
      </w:pPr>
      <w:r w:rsidRPr="00117B26">
        <w:rPr>
          <w:rFonts w:eastAsia="Calibri"/>
          <w:b/>
          <w:szCs w:val="24"/>
        </w:rPr>
        <w:t>TECHNINĖ SPECIFIKACIJA</w:t>
      </w:r>
    </w:p>
    <w:p w14:paraId="0488BFBA" w14:textId="77777777" w:rsidR="00BC044F" w:rsidRPr="00117B26" w:rsidRDefault="00BC044F" w:rsidP="00BC044F">
      <w:pPr>
        <w:pStyle w:val="Skyriauspavadinimas"/>
        <w:numPr>
          <w:ilvl w:val="0"/>
          <w:numId w:val="0"/>
        </w:numPr>
        <w:ind w:firstLine="426"/>
        <w:jc w:val="both"/>
        <w:rPr>
          <w:rFonts w:ascii="Times New Roman" w:hAnsi="Times New Roman"/>
          <w:lang w:val="lt-LT"/>
        </w:rPr>
      </w:pPr>
    </w:p>
    <w:p w14:paraId="157A331B" w14:textId="19EEC1D5" w:rsidR="00BC044F" w:rsidRPr="00117B26" w:rsidRDefault="00F16F46" w:rsidP="00BC044F">
      <w:pPr>
        <w:pStyle w:val="Sraopastraipa"/>
        <w:tabs>
          <w:tab w:val="left" w:pos="567"/>
        </w:tabs>
        <w:ind w:left="0" w:right="-143" w:firstLine="426"/>
        <w:jc w:val="both"/>
        <w:rPr>
          <w:bCs/>
          <w:iCs/>
          <w:szCs w:val="24"/>
          <w:lang w:eastAsia="lt-LT"/>
        </w:rPr>
      </w:pPr>
      <w:r>
        <w:rPr>
          <w:bCs/>
          <w:iCs/>
          <w:szCs w:val="24"/>
          <w:lang w:eastAsia="lt-LT"/>
        </w:rPr>
        <w:t>1</w:t>
      </w:r>
      <w:r w:rsidR="00BC044F" w:rsidRPr="00117B26">
        <w:rPr>
          <w:bCs/>
          <w:iCs/>
          <w:szCs w:val="24"/>
          <w:lang w:eastAsia="lt-LT"/>
        </w:rPr>
        <w:t xml:space="preserve">. </w:t>
      </w:r>
      <w:r w:rsidR="005D083C">
        <w:rPr>
          <w:bCs/>
          <w:iCs/>
          <w:szCs w:val="24"/>
          <w:lang w:eastAsia="lt-LT"/>
        </w:rPr>
        <w:t>P</w:t>
      </w:r>
      <w:r w:rsidR="00BC044F" w:rsidRPr="00117B26">
        <w:rPr>
          <w:bCs/>
          <w:iCs/>
          <w:szCs w:val="24"/>
          <w:lang w:eastAsia="lt-LT"/>
        </w:rPr>
        <w:t>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634959C4" w14:textId="1A2431B3" w:rsidR="000B3700" w:rsidRPr="005D083C" w:rsidRDefault="005D083C" w:rsidP="005D083C">
      <w:pPr>
        <w:tabs>
          <w:tab w:val="left" w:pos="851"/>
        </w:tabs>
        <w:suppressAutoHyphens w:val="0"/>
        <w:spacing w:before="60" w:after="60" w:line="252" w:lineRule="auto"/>
        <w:ind w:firstLine="360"/>
        <w:jc w:val="both"/>
        <w:rPr>
          <w:szCs w:val="24"/>
        </w:rPr>
      </w:pPr>
      <w:r w:rsidRPr="005D083C">
        <w:rPr>
          <w:bCs/>
          <w:szCs w:val="24"/>
        </w:rPr>
        <w:t xml:space="preserve">2. </w:t>
      </w:r>
      <w:r>
        <w:rPr>
          <w:b/>
          <w:szCs w:val="24"/>
          <w:u w:val="single"/>
        </w:rPr>
        <w:t>P</w:t>
      </w:r>
      <w:r w:rsidR="000B3700" w:rsidRPr="005D083C">
        <w:rPr>
          <w:b/>
          <w:szCs w:val="24"/>
          <w:u w:val="single"/>
        </w:rPr>
        <w:t>irkimo objekt</w:t>
      </w:r>
      <w:r w:rsidR="00487230" w:rsidRPr="005D083C">
        <w:rPr>
          <w:b/>
          <w:szCs w:val="24"/>
          <w:u w:val="single"/>
        </w:rPr>
        <w:t>ui</w:t>
      </w:r>
      <w:r w:rsidR="000B3700" w:rsidRPr="005D083C">
        <w:rPr>
          <w:b/>
          <w:szCs w:val="24"/>
          <w:u w:val="single"/>
        </w:rPr>
        <w:t xml:space="preserve"> taikomi Lietuvos Respublikos viešųjų pirkimų įstatymo 37 str. 9 dalies reikalavimai susiję su nacionaliniu saugumu*</w:t>
      </w:r>
      <w:r w:rsidR="000B3700" w:rsidRPr="005D083C">
        <w:rPr>
          <w:szCs w:val="24"/>
        </w:rPr>
        <w:t xml:space="preserve">. Tiekėjas privalo įrodyti, kad siūlomos </w:t>
      </w:r>
      <w:r w:rsidR="009555BA">
        <w:rPr>
          <w:szCs w:val="24"/>
        </w:rPr>
        <w:t xml:space="preserve">prekės ir </w:t>
      </w:r>
      <w:r w:rsidR="000B3700" w:rsidRPr="005D083C">
        <w:rPr>
          <w:szCs w:val="24"/>
        </w:rPr>
        <w:t>paslaugos nekelia grėsmės nacionaliniam saugumui, nėra toliau nurodytų aplinkybių:</w:t>
      </w:r>
    </w:p>
    <w:p w14:paraId="1005AABE" w14:textId="77777777" w:rsidR="000B3700" w:rsidRPr="00117B26" w:rsidRDefault="000B3700" w:rsidP="000B3700">
      <w:pPr>
        <w:pStyle w:val="Sraopastraipa"/>
        <w:tabs>
          <w:tab w:val="left" w:pos="993"/>
        </w:tabs>
        <w:spacing w:before="60" w:after="60"/>
        <w:ind w:left="0" w:firstLine="709"/>
        <w:jc w:val="both"/>
        <w:rPr>
          <w:szCs w:val="24"/>
        </w:rPr>
      </w:pPr>
      <w:r w:rsidRPr="00117B26">
        <w:rPr>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473FC23" w14:textId="64340E8D" w:rsidR="000B3700" w:rsidRPr="00117B26" w:rsidRDefault="000B3700" w:rsidP="000B3700">
      <w:pPr>
        <w:pStyle w:val="Sraopastraipa"/>
        <w:tabs>
          <w:tab w:val="left" w:pos="993"/>
        </w:tabs>
        <w:spacing w:before="60" w:after="60"/>
        <w:ind w:left="0" w:firstLine="709"/>
        <w:jc w:val="both"/>
        <w:rPr>
          <w:szCs w:val="24"/>
        </w:rPr>
      </w:pPr>
      <w:r w:rsidRPr="00117B26">
        <w:rPr>
          <w:szCs w:val="24"/>
        </w:rPr>
        <w:t xml:space="preserve">2) </w:t>
      </w:r>
      <w:r w:rsidR="00DA13D4">
        <w:rPr>
          <w:szCs w:val="24"/>
        </w:rPr>
        <w:t>paslaugų teikimas</w:t>
      </w:r>
      <w:r w:rsidRPr="00117B26">
        <w:rPr>
          <w:szCs w:val="24"/>
        </w:rPr>
        <w:t xml:space="preserve"> būtų </w:t>
      </w:r>
      <w:r w:rsidR="00FE4E88">
        <w:rPr>
          <w:szCs w:val="24"/>
        </w:rPr>
        <w:t>vykdomas</w:t>
      </w:r>
      <w:r w:rsidRPr="00117B26">
        <w:rPr>
          <w:szCs w:val="24"/>
        </w:rPr>
        <w:t xml:space="preserve"> iš VPĮ 92 straipsnio 14 dalyje numatytame sąraše nurodytų valstybių ar teritorijų.</w:t>
      </w:r>
    </w:p>
    <w:p w14:paraId="309C9EA3" w14:textId="139A3ED4" w:rsidR="000B3700" w:rsidRPr="00117B26" w:rsidRDefault="000B3700" w:rsidP="000B3700">
      <w:pPr>
        <w:tabs>
          <w:tab w:val="left" w:pos="993"/>
        </w:tabs>
        <w:spacing w:before="60" w:after="60"/>
        <w:ind w:firstLine="567"/>
        <w:jc w:val="both"/>
        <w:rPr>
          <w:b/>
          <w:szCs w:val="24"/>
        </w:rPr>
      </w:pPr>
      <w:r w:rsidRPr="00117B26">
        <w:rPr>
          <w:b/>
          <w:szCs w:val="24"/>
        </w:rPr>
        <w:t>Perkančioji organizacija pasiūlymo atitikčiai LR viešųjų pirkimų įstatymo 37 straipsnio 9</w:t>
      </w:r>
      <w:r w:rsidR="00FE4E88">
        <w:rPr>
          <w:b/>
          <w:szCs w:val="24"/>
        </w:rPr>
        <w:t xml:space="preserve"> </w:t>
      </w:r>
      <w:r w:rsidRPr="00117B26">
        <w:rPr>
          <w:b/>
          <w:szCs w:val="24"/>
        </w:rPr>
        <w:t xml:space="preserve">dalies reikalavimams patvirtinti iš tiekėjo reikalauja </w:t>
      </w:r>
      <w:r w:rsidRPr="00117B26">
        <w:rPr>
          <w:b/>
          <w:bCs/>
          <w:szCs w:val="24"/>
        </w:rPr>
        <w:t>KARTU SU PASIŪLYMU</w:t>
      </w:r>
      <w:r w:rsidRPr="00117B26">
        <w:rPr>
          <w:szCs w:val="24"/>
        </w:rPr>
        <w:t xml:space="preserve"> </w:t>
      </w:r>
      <w:r w:rsidRPr="00117B26">
        <w:rPr>
          <w:b/>
          <w:bCs/>
          <w:szCs w:val="24"/>
        </w:rPr>
        <w:t xml:space="preserve">PATEIKTI užpildytą pirkimo dokumentą „Nacionalinio saugumo reikalavimų atitikties deklaracija“ (8 </w:t>
      </w:r>
      <w:r w:rsidR="00FE4E88">
        <w:rPr>
          <w:b/>
          <w:bCs/>
          <w:szCs w:val="24"/>
        </w:rPr>
        <w:t>IA</w:t>
      </w:r>
      <w:r w:rsidRPr="00117B26">
        <w:rPr>
          <w:b/>
          <w:bCs/>
          <w:szCs w:val="24"/>
        </w:rPr>
        <w:t xml:space="preserve"> PD ATITIKTIES DEKLARACIJA), o iš ekonomiškai naudingiausią pasiūlymą pateikusio tiekėjo reikalaus pateikti (</w:t>
      </w:r>
      <w:r w:rsidRPr="00117B26">
        <w:rPr>
          <w:b/>
          <w:bCs/>
          <w:szCs w:val="24"/>
          <w:u w:val="single"/>
        </w:rPr>
        <w:t>kartu su pasiūlymu šių dokumentų tiekėjas pateikti neturi</w:t>
      </w:r>
      <w:r w:rsidRPr="00117B26">
        <w:rPr>
          <w:b/>
          <w:bCs/>
          <w:szCs w:val="24"/>
        </w:rPr>
        <w:t xml:space="preserve">) – vieną ar kelis šiuos dokumentus**: </w:t>
      </w:r>
      <w:r w:rsidRPr="00117B26">
        <w:rPr>
          <w:b/>
          <w:szCs w:val="24"/>
        </w:rPr>
        <w:t xml:space="preserve">juridinio asmens vadovo </w:t>
      </w:r>
      <w:r w:rsidRPr="00117B26">
        <w:rPr>
          <w:b/>
          <w:bCs/>
          <w:szCs w:val="24"/>
        </w:rPr>
        <w:t>patvirtintą</w:t>
      </w:r>
      <w:r w:rsidRPr="00117B26">
        <w:rPr>
          <w:b/>
          <w:szCs w:val="24"/>
        </w:rPr>
        <w:t xml:space="preserve"> juridinio asmens steigimo dokumentų </w:t>
      </w:r>
      <w:r w:rsidRPr="00117B26">
        <w:rPr>
          <w:b/>
          <w:bCs/>
          <w:szCs w:val="24"/>
        </w:rPr>
        <w:t>kopiją</w:t>
      </w:r>
      <w:r w:rsidRPr="00117B26">
        <w:rPr>
          <w:b/>
          <w:szCs w:val="24"/>
        </w:rPr>
        <w:t xml:space="preserve">, Juridinių asmenų registro </w:t>
      </w:r>
      <w:r w:rsidRPr="00117B26">
        <w:rPr>
          <w:b/>
          <w:bCs/>
          <w:szCs w:val="24"/>
        </w:rPr>
        <w:t>išplėstinį išrašą</w:t>
      </w:r>
      <w:r w:rsidRPr="00117B26">
        <w:rPr>
          <w:b/>
          <w:szCs w:val="24"/>
        </w:rPr>
        <w:t xml:space="preserve"> su istorija, </w:t>
      </w:r>
      <w:r w:rsidRPr="00117B26">
        <w:rPr>
          <w:b/>
          <w:bCs/>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117B26">
        <w:rPr>
          <w:b/>
          <w:szCs w:val="24"/>
        </w:rPr>
        <w:t xml:space="preserve"> arba </w:t>
      </w:r>
      <w:r w:rsidRPr="00117B26">
        <w:rPr>
          <w:b/>
          <w:bCs/>
          <w:szCs w:val="24"/>
        </w:rPr>
        <w:t xml:space="preserve">atitinkamus </w:t>
      </w:r>
      <w:r w:rsidRPr="00117B26">
        <w:rPr>
          <w:b/>
          <w:szCs w:val="24"/>
        </w:rPr>
        <w:t xml:space="preserve">valstybės narės ar trečiosios šalies </w:t>
      </w:r>
      <w:r w:rsidRPr="00117B26">
        <w:rPr>
          <w:b/>
          <w:bCs/>
          <w:szCs w:val="24"/>
        </w:rPr>
        <w:t>dokumentus, ar kitus perkančiajai organizacijai priimtinus dokumentus</w:t>
      </w:r>
      <w:r w:rsidRPr="00117B26">
        <w:rPr>
          <w:b/>
          <w:szCs w:val="24"/>
        </w:rPr>
        <w:t>.</w:t>
      </w:r>
    </w:p>
    <w:p w14:paraId="037E977B" w14:textId="77777777" w:rsidR="000B3700" w:rsidRPr="00117B26" w:rsidRDefault="000B3700" w:rsidP="000B3700">
      <w:pPr>
        <w:tabs>
          <w:tab w:val="left" w:pos="993"/>
        </w:tabs>
        <w:spacing w:before="60" w:after="60"/>
        <w:ind w:firstLine="567"/>
        <w:jc w:val="both"/>
        <w:rPr>
          <w:b/>
          <w:szCs w:val="24"/>
        </w:rPr>
      </w:pPr>
      <w:r w:rsidRPr="00117B26">
        <w:rPr>
          <w:b/>
          <w:szCs w:val="24"/>
        </w:rPr>
        <w:t>Pastabos:</w:t>
      </w:r>
    </w:p>
    <w:p w14:paraId="2A85E901" w14:textId="77777777" w:rsidR="000B3700" w:rsidRPr="00117B26" w:rsidRDefault="000B3700" w:rsidP="000B3700">
      <w:pPr>
        <w:tabs>
          <w:tab w:val="left" w:pos="993"/>
        </w:tabs>
        <w:spacing w:before="60" w:after="60"/>
        <w:ind w:firstLine="567"/>
        <w:jc w:val="both"/>
        <w:rPr>
          <w:bCs/>
          <w:szCs w:val="24"/>
        </w:rPr>
      </w:pPr>
      <w:r w:rsidRPr="00117B26">
        <w:rPr>
          <w:b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E48A25A" w14:textId="77777777" w:rsidR="000B3700" w:rsidRPr="00117B26" w:rsidRDefault="000B3700" w:rsidP="000B3700">
      <w:pPr>
        <w:ind w:firstLine="567"/>
        <w:jc w:val="both"/>
        <w:rPr>
          <w:szCs w:val="24"/>
        </w:rPr>
      </w:pPr>
      <w:r w:rsidRPr="00117B26">
        <w:rPr>
          <w:bCs/>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117B26">
        <w:rPr>
          <w:szCs w:val="24"/>
        </w:rPr>
        <w:t>.</w:t>
      </w:r>
    </w:p>
    <w:p w14:paraId="73895279" w14:textId="77777777" w:rsidR="000B3700" w:rsidRPr="00117B26" w:rsidRDefault="000B3700" w:rsidP="000B3700">
      <w:pPr>
        <w:ind w:firstLine="567"/>
        <w:jc w:val="both"/>
        <w:rPr>
          <w:szCs w:val="24"/>
        </w:rPr>
      </w:pPr>
    </w:p>
    <w:p w14:paraId="762DEEDB" w14:textId="77777777" w:rsidR="000B3700" w:rsidRPr="00117B26" w:rsidRDefault="000B3700" w:rsidP="00D46E3E">
      <w:pPr>
        <w:jc w:val="center"/>
        <w:rPr>
          <w:b/>
          <w:bCs/>
          <w:szCs w:val="24"/>
        </w:rPr>
      </w:pPr>
      <w:r w:rsidRPr="003718DD">
        <w:rPr>
          <w:b/>
          <w:bCs/>
          <w:szCs w:val="24"/>
          <w:u w:val="single"/>
        </w:rPr>
        <w:t>Pirma pirkimo objekto dalis</w:t>
      </w:r>
      <w:r w:rsidRPr="00117B26">
        <w:rPr>
          <w:b/>
          <w:bCs/>
          <w:szCs w:val="24"/>
        </w:rPr>
        <w:t>: Duomenų saugyklos – 2 vnt.</w:t>
      </w:r>
    </w:p>
    <w:p w14:paraId="5B312DFC" w14:textId="3A666245" w:rsidR="000B3700" w:rsidRPr="00117B26" w:rsidRDefault="000B3700" w:rsidP="008C50E2">
      <w:pPr>
        <w:jc w:val="right"/>
        <w:rPr>
          <w:color w:val="000000" w:themeColor="text1"/>
          <w:szCs w:val="24"/>
          <w:lang w:eastAsia="lt-LT"/>
        </w:rPr>
      </w:pPr>
      <w:r w:rsidRPr="00117B26">
        <w:rPr>
          <w:color w:val="000000" w:themeColor="text1"/>
          <w:szCs w:val="24"/>
          <w:lang w:eastAsia="lt-LT"/>
        </w:rPr>
        <w:t>1 lentelė.</w:t>
      </w:r>
    </w:p>
    <w:tbl>
      <w:tblPr>
        <w:tblStyle w:val="Lentelstinklelis"/>
        <w:tblW w:w="9493" w:type="dxa"/>
        <w:tblLayout w:type="fixed"/>
        <w:tblLook w:val="04A0" w:firstRow="1" w:lastRow="0" w:firstColumn="1" w:lastColumn="0" w:noHBand="0" w:noVBand="1"/>
      </w:tblPr>
      <w:tblGrid>
        <w:gridCol w:w="842"/>
        <w:gridCol w:w="3406"/>
        <w:gridCol w:w="5245"/>
      </w:tblGrid>
      <w:tr w:rsidR="000B3700" w:rsidRPr="00117B26" w14:paraId="017267F6" w14:textId="77777777" w:rsidTr="00ED1F4E">
        <w:tc>
          <w:tcPr>
            <w:tcW w:w="842" w:type="dxa"/>
          </w:tcPr>
          <w:p w14:paraId="08BE0214" w14:textId="77777777" w:rsidR="000B3700" w:rsidRPr="00117B26" w:rsidRDefault="000B3700" w:rsidP="00ED1F4E">
            <w:pPr>
              <w:widowControl w:val="0"/>
              <w:jc w:val="center"/>
              <w:rPr>
                <w:b/>
                <w:szCs w:val="24"/>
              </w:rPr>
            </w:pPr>
            <w:r w:rsidRPr="00117B26">
              <w:rPr>
                <w:b/>
                <w:szCs w:val="24"/>
              </w:rPr>
              <w:t>Eil.</w:t>
            </w:r>
          </w:p>
          <w:p w14:paraId="7C627175" w14:textId="77777777" w:rsidR="000B3700" w:rsidRPr="00117B26" w:rsidRDefault="000B3700" w:rsidP="00ED1F4E">
            <w:pPr>
              <w:widowControl w:val="0"/>
              <w:jc w:val="center"/>
              <w:rPr>
                <w:b/>
                <w:szCs w:val="24"/>
              </w:rPr>
            </w:pPr>
            <w:r w:rsidRPr="00117B26">
              <w:rPr>
                <w:b/>
                <w:szCs w:val="24"/>
              </w:rPr>
              <w:t>Nr.</w:t>
            </w:r>
          </w:p>
        </w:tc>
        <w:tc>
          <w:tcPr>
            <w:tcW w:w="3406" w:type="dxa"/>
          </w:tcPr>
          <w:p w14:paraId="67A79E8C" w14:textId="77777777" w:rsidR="000B3700" w:rsidRPr="00117B26" w:rsidRDefault="000B3700" w:rsidP="00ED1F4E">
            <w:pPr>
              <w:widowControl w:val="0"/>
              <w:jc w:val="center"/>
              <w:rPr>
                <w:b/>
                <w:szCs w:val="24"/>
              </w:rPr>
            </w:pPr>
            <w:r w:rsidRPr="00117B26">
              <w:rPr>
                <w:b/>
                <w:szCs w:val="24"/>
              </w:rPr>
              <w:t>Parametras</w:t>
            </w:r>
          </w:p>
        </w:tc>
        <w:tc>
          <w:tcPr>
            <w:tcW w:w="5245" w:type="dxa"/>
          </w:tcPr>
          <w:p w14:paraId="247A433E" w14:textId="77777777" w:rsidR="000B3700" w:rsidRPr="00117B26" w:rsidRDefault="000B3700" w:rsidP="00ED1F4E">
            <w:pPr>
              <w:widowControl w:val="0"/>
              <w:jc w:val="center"/>
              <w:rPr>
                <w:b/>
                <w:szCs w:val="24"/>
              </w:rPr>
            </w:pPr>
            <w:r w:rsidRPr="00117B26">
              <w:rPr>
                <w:b/>
                <w:szCs w:val="24"/>
              </w:rPr>
              <w:t>Reikalaujama parametro reikšmė</w:t>
            </w:r>
          </w:p>
        </w:tc>
      </w:tr>
      <w:tr w:rsidR="000B3700" w:rsidRPr="00117B26" w14:paraId="7D8CC83C" w14:textId="77777777" w:rsidTr="00ED1F4E">
        <w:tc>
          <w:tcPr>
            <w:tcW w:w="842" w:type="dxa"/>
          </w:tcPr>
          <w:p w14:paraId="1D0AF1F4" w14:textId="77777777" w:rsidR="000B3700" w:rsidRPr="00117B26" w:rsidRDefault="000B3700" w:rsidP="00ED1F4E">
            <w:pPr>
              <w:widowControl w:val="0"/>
              <w:jc w:val="both"/>
              <w:rPr>
                <w:b/>
                <w:szCs w:val="24"/>
              </w:rPr>
            </w:pPr>
            <w:r w:rsidRPr="00117B26">
              <w:rPr>
                <w:b/>
                <w:szCs w:val="24"/>
              </w:rPr>
              <w:t>1.</w:t>
            </w:r>
          </w:p>
        </w:tc>
        <w:tc>
          <w:tcPr>
            <w:tcW w:w="3406" w:type="dxa"/>
          </w:tcPr>
          <w:p w14:paraId="47F0F036" w14:textId="1616064B" w:rsidR="00BD2B8E" w:rsidRPr="00117B26" w:rsidRDefault="00BD2B8E" w:rsidP="00ED1F4E">
            <w:pPr>
              <w:widowControl w:val="0"/>
              <w:jc w:val="both"/>
              <w:rPr>
                <w:b/>
                <w:szCs w:val="24"/>
              </w:rPr>
            </w:pPr>
            <w:r w:rsidRPr="00BD2B8E">
              <w:rPr>
                <w:szCs w:val="24"/>
              </w:rPr>
              <w:t xml:space="preserve">Tiekėjas turi būti </w:t>
            </w:r>
            <w:r w:rsidR="009166EE">
              <w:rPr>
                <w:szCs w:val="24"/>
              </w:rPr>
              <w:t>siūlomos</w:t>
            </w:r>
            <w:r w:rsidRPr="00BD2B8E">
              <w:rPr>
                <w:szCs w:val="24"/>
              </w:rPr>
              <w:t xml:space="preserve"> techninės įrangos  gamintojas arba turi turėti gamintojo suteiktą teisę (turi būti įgaliotas gamintojo atstovas) </w:t>
            </w:r>
            <w:r w:rsidR="008F6514" w:rsidRPr="00626A72">
              <w:rPr>
                <w:szCs w:val="24"/>
              </w:rPr>
              <w:lastRenderedPageBreak/>
              <w:t>parduoti/prižiūrėti</w:t>
            </w:r>
            <w:r w:rsidR="008F6514" w:rsidRPr="00BD2B8E">
              <w:rPr>
                <w:szCs w:val="24"/>
              </w:rPr>
              <w:t xml:space="preserve"> </w:t>
            </w:r>
            <w:r w:rsidR="00C16421">
              <w:rPr>
                <w:szCs w:val="24"/>
              </w:rPr>
              <w:t>siūlomą</w:t>
            </w:r>
            <w:r w:rsidRPr="00BD2B8E">
              <w:rPr>
                <w:szCs w:val="24"/>
              </w:rPr>
              <w:t xml:space="preserve"> technin</w:t>
            </w:r>
            <w:r w:rsidR="00CF2F62">
              <w:rPr>
                <w:szCs w:val="24"/>
              </w:rPr>
              <w:t>ę</w:t>
            </w:r>
            <w:r w:rsidRPr="00BD2B8E">
              <w:rPr>
                <w:szCs w:val="24"/>
              </w:rPr>
              <w:t xml:space="preserve"> įrang</w:t>
            </w:r>
            <w:r w:rsidR="00CF2F62">
              <w:rPr>
                <w:szCs w:val="24"/>
              </w:rPr>
              <w:t>ą</w:t>
            </w:r>
            <w:r w:rsidRPr="00BD2B8E">
              <w:rPr>
                <w:szCs w:val="24"/>
              </w:rPr>
              <w:t xml:space="preserve"> </w:t>
            </w:r>
            <w:r w:rsidRPr="00BD2B8E">
              <w:rPr>
                <w:b/>
                <w:bCs/>
                <w:szCs w:val="24"/>
              </w:rPr>
              <w:t xml:space="preserve"> </w:t>
            </w:r>
            <w:r w:rsidRPr="00BD2B8E">
              <w:rPr>
                <w:szCs w:val="24"/>
              </w:rPr>
              <w:t>arba turi būti sudaręs atitinkamą bendradarbiavimo sutartį su kitu ūkio subjektu, turinčiu tokią teisę.</w:t>
            </w:r>
          </w:p>
        </w:tc>
        <w:tc>
          <w:tcPr>
            <w:tcW w:w="5245" w:type="dxa"/>
          </w:tcPr>
          <w:p w14:paraId="013C3368" w14:textId="5FD1B632" w:rsidR="000B3700" w:rsidRPr="00117B26" w:rsidRDefault="000B3700" w:rsidP="00ED1F4E">
            <w:pPr>
              <w:widowControl w:val="0"/>
              <w:tabs>
                <w:tab w:val="left" w:pos="1089"/>
              </w:tabs>
              <w:spacing w:before="40" w:after="40"/>
              <w:jc w:val="both"/>
              <w:rPr>
                <w:b/>
                <w:szCs w:val="24"/>
              </w:rPr>
            </w:pPr>
            <w:r w:rsidRPr="00117B26">
              <w:rPr>
                <w:szCs w:val="24"/>
              </w:rPr>
              <w:lastRenderedPageBreak/>
              <w:t xml:space="preserve">Tiekėjas teikdamas pasiūlymą turi pateikti dokumentą, patvirtinantį, kad tiekėjas yra </w:t>
            </w:r>
            <w:r w:rsidR="00C16421">
              <w:rPr>
                <w:szCs w:val="24"/>
              </w:rPr>
              <w:t>siūlomos</w:t>
            </w:r>
            <w:r w:rsidRPr="00117B26">
              <w:rPr>
                <w:szCs w:val="24"/>
              </w:rPr>
              <w:t xml:space="preserve"> techninės įrangos gamintojas (pateikiama tiekėjo pažyma), ar įgaliotas </w:t>
            </w:r>
            <w:r w:rsidR="00C91D27">
              <w:rPr>
                <w:szCs w:val="24"/>
              </w:rPr>
              <w:t>siūlomos</w:t>
            </w:r>
            <w:r w:rsidRPr="00117B26">
              <w:rPr>
                <w:szCs w:val="24"/>
              </w:rPr>
              <w:t xml:space="preserve"> techninės įrangos gamintojo atstovas (pateikiami oficialų atstovavimą </w:t>
            </w:r>
            <w:r w:rsidRPr="00117B26">
              <w:rPr>
                <w:szCs w:val="24"/>
              </w:rPr>
              <w:lastRenderedPageBreak/>
              <w:t>patvirtinantys dokumentai), ar yra sudaręs atitinkamą bendradarbiavimo sutartį su kitu ūkio subjektu, turinčiu gamintojo suteiktą teisę (pateikiama patvirtinančios sutarties su kita įmone, turinčia teisę atstovauti įrangos gamintoją, skaitmeninė kopija bei ūkio subjektui, su kuriuo sudaryta bendradarbiavimo sutartis, gamintojo išduotas įgaliojimas).</w:t>
            </w:r>
          </w:p>
        </w:tc>
      </w:tr>
    </w:tbl>
    <w:p w14:paraId="1CEAB37D" w14:textId="77777777" w:rsidR="000B3700" w:rsidRPr="00117B26" w:rsidRDefault="000B3700" w:rsidP="000B3700">
      <w:pPr>
        <w:jc w:val="both"/>
        <w:rPr>
          <w:rFonts w:eastAsia="Calibri"/>
          <w:b/>
          <w:szCs w:val="24"/>
        </w:rPr>
      </w:pPr>
    </w:p>
    <w:p w14:paraId="72F49401" w14:textId="749CE41D" w:rsidR="000B3700" w:rsidRPr="00117B26" w:rsidRDefault="000B3700" w:rsidP="008C50E2">
      <w:pPr>
        <w:jc w:val="right"/>
        <w:rPr>
          <w:rFonts w:eastAsia="Calibri"/>
          <w:bCs/>
          <w:szCs w:val="24"/>
        </w:rPr>
      </w:pPr>
      <w:r w:rsidRPr="00117B26">
        <w:rPr>
          <w:rFonts w:eastAsia="Calibri"/>
          <w:bCs/>
          <w:szCs w:val="24"/>
        </w:rPr>
        <w:t>2 lentelė</w:t>
      </w:r>
    </w:p>
    <w:tbl>
      <w:tblPr>
        <w:tblStyle w:val="Lentelstinklelis"/>
        <w:tblW w:w="0" w:type="auto"/>
        <w:tblLook w:val="04A0" w:firstRow="1" w:lastRow="0" w:firstColumn="1" w:lastColumn="0" w:noHBand="0" w:noVBand="1"/>
      </w:tblPr>
      <w:tblGrid>
        <w:gridCol w:w="704"/>
        <w:gridCol w:w="2268"/>
        <w:gridCol w:w="6521"/>
      </w:tblGrid>
      <w:tr w:rsidR="009D5D11" w:rsidRPr="00117B26" w14:paraId="380C4B10" w14:textId="77777777" w:rsidTr="009D5D11">
        <w:tc>
          <w:tcPr>
            <w:tcW w:w="704" w:type="dxa"/>
          </w:tcPr>
          <w:p w14:paraId="33C9145C" w14:textId="77777777" w:rsidR="009D5D11" w:rsidRPr="00117B26" w:rsidRDefault="009D5D11" w:rsidP="00ED1F4E">
            <w:pPr>
              <w:jc w:val="both"/>
              <w:rPr>
                <w:rFonts w:eastAsia="Calibri"/>
                <w:b/>
                <w:szCs w:val="24"/>
              </w:rPr>
            </w:pPr>
            <w:r w:rsidRPr="00117B26">
              <w:rPr>
                <w:rFonts w:eastAsia="Calibri"/>
                <w:b/>
                <w:szCs w:val="24"/>
              </w:rPr>
              <w:t>Eil. Nr.</w:t>
            </w:r>
          </w:p>
        </w:tc>
        <w:tc>
          <w:tcPr>
            <w:tcW w:w="2268" w:type="dxa"/>
          </w:tcPr>
          <w:p w14:paraId="441EDC8C" w14:textId="26404425" w:rsidR="009D5D11" w:rsidRPr="00117B26" w:rsidRDefault="009D5D11" w:rsidP="003D1CFD">
            <w:pPr>
              <w:jc w:val="center"/>
              <w:rPr>
                <w:rFonts w:eastAsia="Calibri"/>
                <w:b/>
                <w:szCs w:val="24"/>
              </w:rPr>
            </w:pPr>
            <w:r w:rsidRPr="00117B26">
              <w:rPr>
                <w:rFonts w:eastAsia="Calibri"/>
                <w:b/>
                <w:szCs w:val="24"/>
              </w:rPr>
              <w:t>Parametras</w:t>
            </w:r>
          </w:p>
        </w:tc>
        <w:tc>
          <w:tcPr>
            <w:tcW w:w="6521" w:type="dxa"/>
          </w:tcPr>
          <w:p w14:paraId="6EFFB981" w14:textId="2FDAAF4A" w:rsidR="009D5D11" w:rsidRPr="00117B26" w:rsidRDefault="009D5D11" w:rsidP="00ED1F4E">
            <w:pPr>
              <w:jc w:val="both"/>
              <w:rPr>
                <w:rFonts w:eastAsia="Calibri"/>
                <w:b/>
                <w:szCs w:val="24"/>
              </w:rPr>
            </w:pPr>
            <w:r w:rsidRPr="00117B26">
              <w:rPr>
                <w:rFonts w:eastAsia="Calibri"/>
                <w:b/>
                <w:szCs w:val="24"/>
              </w:rPr>
              <w:t>Reikalaujamas parametras</w:t>
            </w:r>
          </w:p>
        </w:tc>
      </w:tr>
      <w:tr w:rsidR="009D5D11" w:rsidRPr="00117B26" w14:paraId="50CDE649" w14:textId="77777777" w:rsidTr="009D5D11">
        <w:tc>
          <w:tcPr>
            <w:tcW w:w="704" w:type="dxa"/>
          </w:tcPr>
          <w:p w14:paraId="4AA8835F" w14:textId="77777777" w:rsidR="009D5D11" w:rsidRPr="00117B26" w:rsidRDefault="009D5D11" w:rsidP="00530889">
            <w:pPr>
              <w:jc w:val="center"/>
              <w:rPr>
                <w:rFonts w:eastAsia="Calibri"/>
                <w:b/>
                <w:szCs w:val="24"/>
              </w:rPr>
            </w:pPr>
            <w:r w:rsidRPr="00117B26">
              <w:rPr>
                <w:rFonts w:eastAsia="Calibri"/>
                <w:b/>
                <w:szCs w:val="24"/>
              </w:rPr>
              <w:t>1.</w:t>
            </w:r>
          </w:p>
        </w:tc>
        <w:tc>
          <w:tcPr>
            <w:tcW w:w="2268" w:type="dxa"/>
          </w:tcPr>
          <w:p w14:paraId="3DC4B631" w14:textId="7A519350" w:rsidR="009D5D11" w:rsidRPr="00117B26" w:rsidRDefault="009D5D11" w:rsidP="00530889">
            <w:pPr>
              <w:jc w:val="both"/>
              <w:rPr>
                <w:rFonts w:eastAsia="Calibri"/>
                <w:b/>
                <w:szCs w:val="24"/>
              </w:rPr>
            </w:pPr>
            <w:r w:rsidRPr="00117B26">
              <w:rPr>
                <w:szCs w:val="24"/>
              </w:rPr>
              <w:t>Gamintojas</w:t>
            </w:r>
          </w:p>
        </w:tc>
        <w:tc>
          <w:tcPr>
            <w:tcW w:w="6521" w:type="dxa"/>
          </w:tcPr>
          <w:p w14:paraId="3E8E581B" w14:textId="601EEC70" w:rsidR="009D5D11" w:rsidRPr="00117B26" w:rsidRDefault="009D5D11" w:rsidP="00530889">
            <w:pPr>
              <w:jc w:val="both"/>
              <w:rPr>
                <w:rFonts w:eastAsia="Calibri"/>
                <w:b/>
                <w:szCs w:val="24"/>
              </w:rPr>
            </w:pPr>
            <w:r w:rsidRPr="00117B26">
              <w:rPr>
                <w:szCs w:val="24"/>
              </w:rPr>
              <w:t>Nurodo tiekėjas</w:t>
            </w:r>
          </w:p>
        </w:tc>
      </w:tr>
      <w:tr w:rsidR="009D5D11" w:rsidRPr="00117B26" w14:paraId="2B5D54E9" w14:textId="77777777" w:rsidTr="009D5D11">
        <w:tc>
          <w:tcPr>
            <w:tcW w:w="704" w:type="dxa"/>
          </w:tcPr>
          <w:p w14:paraId="060850DF" w14:textId="77777777" w:rsidR="009D5D11" w:rsidRPr="00117B26" w:rsidRDefault="009D5D11" w:rsidP="00530889">
            <w:pPr>
              <w:jc w:val="center"/>
              <w:rPr>
                <w:rFonts w:eastAsia="Calibri"/>
                <w:b/>
                <w:szCs w:val="24"/>
              </w:rPr>
            </w:pPr>
            <w:r w:rsidRPr="00117B26">
              <w:rPr>
                <w:rFonts w:eastAsia="Calibri"/>
                <w:b/>
                <w:szCs w:val="24"/>
              </w:rPr>
              <w:t>2.</w:t>
            </w:r>
          </w:p>
        </w:tc>
        <w:tc>
          <w:tcPr>
            <w:tcW w:w="2268" w:type="dxa"/>
          </w:tcPr>
          <w:p w14:paraId="08132008" w14:textId="1D61765B" w:rsidR="009D5D11" w:rsidRPr="00117B26" w:rsidRDefault="009D5D11" w:rsidP="00530889">
            <w:pPr>
              <w:jc w:val="both"/>
              <w:rPr>
                <w:rFonts w:eastAsia="Calibri"/>
                <w:b/>
                <w:szCs w:val="24"/>
              </w:rPr>
            </w:pPr>
            <w:r w:rsidRPr="00117B26">
              <w:rPr>
                <w:szCs w:val="24"/>
              </w:rPr>
              <w:t>Modelis</w:t>
            </w:r>
          </w:p>
        </w:tc>
        <w:tc>
          <w:tcPr>
            <w:tcW w:w="6521" w:type="dxa"/>
          </w:tcPr>
          <w:p w14:paraId="60C07C0A" w14:textId="3F064997" w:rsidR="009D5D11" w:rsidRPr="00117B26" w:rsidRDefault="009D5D11" w:rsidP="00530889">
            <w:pPr>
              <w:jc w:val="both"/>
              <w:rPr>
                <w:rFonts w:eastAsia="Calibri"/>
                <w:b/>
                <w:szCs w:val="24"/>
              </w:rPr>
            </w:pPr>
            <w:r w:rsidRPr="00117B26">
              <w:rPr>
                <w:szCs w:val="24"/>
              </w:rPr>
              <w:t>Nurodo tiekėjas</w:t>
            </w:r>
          </w:p>
        </w:tc>
      </w:tr>
      <w:tr w:rsidR="009D5D11" w:rsidRPr="00117B26" w14:paraId="1FC03A0F" w14:textId="77777777" w:rsidTr="009D5D11">
        <w:tc>
          <w:tcPr>
            <w:tcW w:w="704" w:type="dxa"/>
          </w:tcPr>
          <w:p w14:paraId="368F2F89" w14:textId="77777777" w:rsidR="009D5D11" w:rsidRPr="00117B26" w:rsidRDefault="009D5D11" w:rsidP="00530889">
            <w:pPr>
              <w:jc w:val="center"/>
              <w:rPr>
                <w:rFonts w:eastAsia="Calibri"/>
                <w:b/>
                <w:szCs w:val="24"/>
              </w:rPr>
            </w:pPr>
            <w:r w:rsidRPr="00117B26">
              <w:rPr>
                <w:rFonts w:eastAsia="Calibri"/>
                <w:b/>
                <w:szCs w:val="24"/>
              </w:rPr>
              <w:t>3.</w:t>
            </w:r>
          </w:p>
        </w:tc>
        <w:tc>
          <w:tcPr>
            <w:tcW w:w="2268" w:type="dxa"/>
          </w:tcPr>
          <w:p w14:paraId="2E1F59C9" w14:textId="6F41F919" w:rsidR="009D5D11" w:rsidRPr="00117B26" w:rsidRDefault="009D5D11" w:rsidP="00530889">
            <w:pPr>
              <w:jc w:val="both"/>
              <w:rPr>
                <w:rFonts w:eastAsia="Calibri"/>
                <w:b/>
                <w:szCs w:val="24"/>
              </w:rPr>
            </w:pPr>
            <w:r w:rsidRPr="00117B26">
              <w:rPr>
                <w:szCs w:val="24"/>
              </w:rPr>
              <w:t>Duomenų saugyklos tipas</w:t>
            </w:r>
          </w:p>
        </w:tc>
        <w:tc>
          <w:tcPr>
            <w:tcW w:w="6521" w:type="dxa"/>
          </w:tcPr>
          <w:p w14:paraId="03C444A5" w14:textId="50FE2CB7" w:rsidR="009D5D11" w:rsidRPr="00117B26" w:rsidRDefault="009D5D11" w:rsidP="00530889">
            <w:pPr>
              <w:jc w:val="both"/>
              <w:rPr>
                <w:rFonts w:eastAsia="Calibri"/>
                <w:b/>
                <w:szCs w:val="24"/>
              </w:rPr>
            </w:pPr>
            <w:r w:rsidRPr="00117B26">
              <w:rPr>
                <w:szCs w:val="24"/>
              </w:rPr>
              <w:t>SAN</w:t>
            </w:r>
          </w:p>
        </w:tc>
      </w:tr>
      <w:tr w:rsidR="009D5D11" w:rsidRPr="00117B26" w14:paraId="56895EEA" w14:textId="77777777" w:rsidTr="009D5D11">
        <w:tc>
          <w:tcPr>
            <w:tcW w:w="704" w:type="dxa"/>
          </w:tcPr>
          <w:p w14:paraId="2C8017F5" w14:textId="77777777" w:rsidR="009D5D11" w:rsidRPr="00117B26" w:rsidRDefault="009D5D11" w:rsidP="00530889">
            <w:pPr>
              <w:jc w:val="center"/>
              <w:rPr>
                <w:rFonts w:eastAsia="Calibri"/>
                <w:b/>
                <w:szCs w:val="24"/>
              </w:rPr>
            </w:pPr>
            <w:r w:rsidRPr="00117B26">
              <w:rPr>
                <w:rFonts w:eastAsia="Calibri"/>
                <w:b/>
                <w:szCs w:val="24"/>
              </w:rPr>
              <w:t>4.</w:t>
            </w:r>
          </w:p>
        </w:tc>
        <w:tc>
          <w:tcPr>
            <w:tcW w:w="2268" w:type="dxa"/>
          </w:tcPr>
          <w:p w14:paraId="4923E8EC" w14:textId="42065367" w:rsidR="009D5D11" w:rsidRPr="00117B26" w:rsidRDefault="009D5D11" w:rsidP="00530889">
            <w:pPr>
              <w:jc w:val="both"/>
              <w:rPr>
                <w:rFonts w:eastAsia="Calibri"/>
                <w:b/>
                <w:szCs w:val="24"/>
              </w:rPr>
            </w:pPr>
            <w:r w:rsidRPr="00117B26">
              <w:rPr>
                <w:szCs w:val="24"/>
              </w:rPr>
              <w:t>Valdikliai</w:t>
            </w:r>
          </w:p>
        </w:tc>
        <w:tc>
          <w:tcPr>
            <w:tcW w:w="6521" w:type="dxa"/>
          </w:tcPr>
          <w:p w14:paraId="01AB7430" w14:textId="07BA77FA" w:rsidR="009D5D11" w:rsidRPr="00117B26" w:rsidRDefault="009D5D11" w:rsidP="00530889">
            <w:pPr>
              <w:jc w:val="both"/>
              <w:rPr>
                <w:rFonts w:eastAsia="Calibri"/>
                <w:b/>
                <w:szCs w:val="24"/>
              </w:rPr>
            </w:pPr>
            <w:r w:rsidRPr="00117B26">
              <w:rPr>
                <w:szCs w:val="24"/>
              </w:rPr>
              <w:t>Ne mažiau 2 vnt.</w:t>
            </w:r>
          </w:p>
        </w:tc>
      </w:tr>
      <w:tr w:rsidR="009D5D11" w:rsidRPr="00117B26" w14:paraId="7C006F36" w14:textId="77777777" w:rsidTr="009D5D11">
        <w:tc>
          <w:tcPr>
            <w:tcW w:w="704" w:type="dxa"/>
          </w:tcPr>
          <w:p w14:paraId="6F0B09A7" w14:textId="77777777" w:rsidR="009D5D11" w:rsidRPr="00117B26" w:rsidRDefault="009D5D11" w:rsidP="00530889">
            <w:pPr>
              <w:jc w:val="center"/>
              <w:rPr>
                <w:rFonts w:eastAsia="Calibri"/>
                <w:b/>
                <w:szCs w:val="24"/>
              </w:rPr>
            </w:pPr>
            <w:r w:rsidRPr="00117B26">
              <w:rPr>
                <w:rFonts w:eastAsia="Calibri"/>
                <w:b/>
                <w:szCs w:val="24"/>
              </w:rPr>
              <w:t>5.</w:t>
            </w:r>
          </w:p>
        </w:tc>
        <w:tc>
          <w:tcPr>
            <w:tcW w:w="2268" w:type="dxa"/>
          </w:tcPr>
          <w:p w14:paraId="157E32EC" w14:textId="17997855" w:rsidR="009D5D11" w:rsidRPr="00117B26" w:rsidRDefault="009D5D11" w:rsidP="00530889">
            <w:pPr>
              <w:jc w:val="both"/>
              <w:rPr>
                <w:rFonts w:eastAsia="Calibri"/>
                <w:b/>
                <w:szCs w:val="24"/>
              </w:rPr>
            </w:pPr>
            <w:r w:rsidRPr="00117B26">
              <w:rPr>
                <w:szCs w:val="24"/>
              </w:rPr>
              <w:t>Valdiklių veikimas</w:t>
            </w:r>
          </w:p>
        </w:tc>
        <w:tc>
          <w:tcPr>
            <w:tcW w:w="6521" w:type="dxa"/>
          </w:tcPr>
          <w:p w14:paraId="257446E7" w14:textId="75AA056E" w:rsidR="009D5D11" w:rsidRPr="00117B26" w:rsidRDefault="009D5D11" w:rsidP="00530889">
            <w:pPr>
              <w:jc w:val="both"/>
              <w:rPr>
                <w:rFonts w:eastAsia="Calibri"/>
                <w:b/>
                <w:szCs w:val="24"/>
              </w:rPr>
            </w:pPr>
            <w:r w:rsidRPr="00117B26">
              <w:rPr>
                <w:szCs w:val="24"/>
              </w:rPr>
              <w:t xml:space="preserve">Komplektuojami valdikliai turi dirbti </w:t>
            </w:r>
            <w:proofErr w:type="spellStart"/>
            <w:r w:rsidRPr="00117B26">
              <w:rPr>
                <w:szCs w:val="24"/>
              </w:rPr>
              <w:t>active</w:t>
            </w:r>
            <w:proofErr w:type="spellEnd"/>
            <w:r w:rsidRPr="00117B26">
              <w:rPr>
                <w:szCs w:val="24"/>
              </w:rPr>
              <w:t>/</w:t>
            </w:r>
            <w:proofErr w:type="spellStart"/>
            <w:r w:rsidRPr="00117B26">
              <w:rPr>
                <w:szCs w:val="24"/>
              </w:rPr>
              <w:t>active</w:t>
            </w:r>
            <w:proofErr w:type="spellEnd"/>
            <w:r w:rsidRPr="00117B26">
              <w:rPr>
                <w:szCs w:val="24"/>
              </w:rPr>
              <w:t xml:space="preserve"> režimu, I/O duomenų srautas balansuojamas per valdiklius taip, kad duomenų skaitymo ir rašymo greitis iš regiono (LUN), į regioną (LUN) būtų vienodas, nepriklausomai per kurį valdiklį vykdoma I/O operacija.</w:t>
            </w:r>
          </w:p>
        </w:tc>
      </w:tr>
      <w:tr w:rsidR="009D5D11" w:rsidRPr="00117B26" w14:paraId="53393A69" w14:textId="77777777" w:rsidTr="009D5D11">
        <w:tc>
          <w:tcPr>
            <w:tcW w:w="704" w:type="dxa"/>
          </w:tcPr>
          <w:p w14:paraId="37B7735D" w14:textId="77777777" w:rsidR="009D5D11" w:rsidRPr="00117B26" w:rsidRDefault="009D5D11" w:rsidP="00530889">
            <w:pPr>
              <w:jc w:val="center"/>
              <w:rPr>
                <w:rFonts w:eastAsia="Calibri"/>
                <w:b/>
                <w:szCs w:val="24"/>
              </w:rPr>
            </w:pPr>
            <w:r w:rsidRPr="00117B26">
              <w:rPr>
                <w:rFonts w:eastAsia="Calibri"/>
                <w:b/>
                <w:szCs w:val="24"/>
              </w:rPr>
              <w:t>6.</w:t>
            </w:r>
          </w:p>
        </w:tc>
        <w:tc>
          <w:tcPr>
            <w:tcW w:w="2268" w:type="dxa"/>
          </w:tcPr>
          <w:p w14:paraId="13D17D4C" w14:textId="169F41C7" w:rsidR="009D5D11" w:rsidRPr="00117B26" w:rsidRDefault="009D5D11" w:rsidP="00530889">
            <w:pPr>
              <w:jc w:val="both"/>
              <w:rPr>
                <w:rFonts w:eastAsia="Calibri"/>
                <w:b/>
                <w:szCs w:val="24"/>
              </w:rPr>
            </w:pPr>
            <w:r w:rsidRPr="00117B26">
              <w:rPr>
                <w:szCs w:val="24"/>
              </w:rPr>
              <w:t>Spartinančioji atmintis</w:t>
            </w:r>
          </w:p>
        </w:tc>
        <w:tc>
          <w:tcPr>
            <w:tcW w:w="6521" w:type="dxa"/>
          </w:tcPr>
          <w:p w14:paraId="66C07D29" w14:textId="76AB29A9" w:rsidR="009D5D11" w:rsidRPr="00117B26" w:rsidRDefault="009D5D11" w:rsidP="00530889">
            <w:pPr>
              <w:jc w:val="both"/>
              <w:rPr>
                <w:rFonts w:eastAsia="Calibri"/>
                <w:b/>
                <w:szCs w:val="24"/>
              </w:rPr>
            </w:pPr>
            <w:r w:rsidRPr="00117B26">
              <w:rPr>
                <w:szCs w:val="24"/>
              </w:rPr>
              <w:t xml:space="preserve">Ne mažiau 32 GB kiekviename valdiklyje (viso 64 GB saugyklai), apsaugotos </w:t>
            </w:r>
            <w:proofErr w:type="spellStart"/>
            <w:r w:rsidRPr="00117B26">
              <w:rPr>
                <w:szCs w:val="24"/>
              </w:rPr>
              <w:t>flash</w:t>
            </w:r>
            <w:proofErr w:type="spellEnd"/>
            <w:r w:rsidRPr="00117B26">
              <w:rPr>
                <w:szCs w:val="24"/>
              </w:rPr>
              <w:t xml:space="preserve"> arba lygiaverčiu būdu.</w:t>
            </w:r>
          </w:p>
        </w:tc>
      </w:tr>
      <w:tr w:rsidR="009D5D11" w:rsidRPr="00117B26" w14:paraId="497A104F" w14:textId="77777777" w:rsidTr="009D5D11">
        <w:tc>
          <w:tcPr>
            <w:tcW w:w="704" w:type="dxa"/>
          </w:tcPr>
          <w:p w14:paraId="5582B41F" w14:textId="77777777" w:rsidR="009D5D11" w:rsidRPr="00117B26" w:rsidRDefault="009D5D11" w:rsidP="00530889">
            <w:pPr>
              <w:jc w:val="center"/>
              <w:rPr>
                <w:rFonts w:eastAsia="Calibri"/>
                <w:b/>
                <w:szCs w:val="24"/>
              </w:rPr>
            </w:pPr>
            <w:r w:rsidRPr="00117B26">
              <w:rPr>
                <w:rFonts w:eastAsia="Calibri"/>
                <w:b/>
                <w:szCs w:val="24"/>
              </w:rPr>
              <w:t>7.</w:t>
            </w:r>
          </w:p>
        </w:tc>
        <w:tc>
          <w:tcPr>
            <w:tcW w:w="2268" w:type="dxa"/>
          </w:tcPr>
          <w:p w14:paraId="1244F6BC" w14:textId="1F6A2558" w:rsidR="009D5D11" w:rsidRPr="00117B26" w:rsidRDefault="009D5D11" w:rsidP="00530889">
            <w:pPr>
              <w:jc w:val="both"/>
              <w:rPr>
                <w:rFonts w:eastAsia="Calibri"/>
                <w:b/>
                <w:szCs w:val="24"/>
              </w:rPr>
            </w:pPr>
            <w:r w:rsidRPr="00117B26">
              <w:rPr>
                <w:szCs w:val="24"/>
              </w:rPr>
              <w:t>Sąsajos tarnybinių stočių pajungimui.</w:t>
            </w:r>
          </w:p>
        </w:tc>
        <w:tc>
          <w:tcPr>
            <w:tcW w:w="6521" w:type="dxa"/>
          </w:tcPr>
          <w:p w14:paraId="462758A4" w14:textId="77777777" w:rsidR="009D5D11" w:rsidRPr="00117B26" w:rsidRDefault="009D5D11" w:rsidP="007804AD">
            <w:pPr>
              <w:jc w:val="both"/>
              <w:rPr>
                <w:szCs w:val="24"/>
              </w:rPr>
            </w:pPr>
            <w:r w:rsidRPr="00117B26">
              <w:rPr>
                <w:szCs w:val="24"/>
              </w:rPr>
              <w:t xml:space="preserve">Duomenų saugykla turi turėti ne mažiau kaip 8 vnt. prievadų prijungimui prie SAN tinklo. Prievadai turi palaikyti ne prastesnius kaip 16 </w:t>
            </w:r>
            <w:proofErr w:type="spellStart"/>
            <w:r w:rsidRPr="00117B26">
              <w:rPr>
                <w:szCs w:val="24"/>
              </w:rPr>
              <w:t>Gbps</w:t>
            </w:r>
            <w:proofErr w:type="spellEnd"/>
            <w:r w:rsidRPr="00117B26">
              <w:rPr>
                <w:szCs w:val="24"/>
              </w:rPr>
              <w:t xml:space="preserve"> FC SFP+ modulius.</w:t>
            </w:r>
          </w:p>
          <w:p w14:paraId="7ABA4C3B" w14:textId="6E8063D7" w:rsidR="009D5D11" w:rsidRPr="00117B26" w:rsidRDefault="009D5D11" w:rsidP="00530889">
            <w:pPr>
              <w:jc w:val="both"/>
              <w:rPr>
                <w:rFonts w:eastAsia="Calibri"/>
                <w:b/>
                <w:szCs w:val="24"/>
              </w:rPr>
            </w:pPr>
            <w:r w:rsidRPr="00117B26">
              <w:rPr>
                <w:szCs w:val="24"/>
              </w:rPr>
              <w:t xml:space="preserve">Komplekte turi būti pateikti 8 vnt. ne prastesnių kaip 16 </w:t>
            </w:r>
            <w:proofErr w:type="spellStart"/>
            <w:r w:rsidRPr="00117B26">
              <w:rPr>
                <w:szCs w:val="24"/>
              </w:rPr>
              <w:t>Gbps</w:t>
            </w:r>
            <w:proofErr w:type="spellEnd"/>
            <w:r w:rsidRPr="00117B26">
              <w:rPr>
                <w:szCs w:val="24"/>
              </w:rPr>
              <w:t xml:space="preserve"> FC SFP+ modulių.</w:t>
            </w:r>
          </w:p>
        </w:tc>
      </w:tr>
      <w:tr w:rsidR="009D5D11" w:rsidRPr="00117B26" w14:paraId="4AC5639B" w14:textId="77777777" w:rsidTr="009D5D11">
        <w:tc>
          <w:tcPr>
            <w:tcW w:w="704" w:type="dxa"/>
          </w:tcPr>
          <w:p w14:paraId="6AD07778" w14:textId="77777777" w:rsidR="009D5D11" w:rsidRPr="00117B26" w:rsidRDefault="009D5D11" w:rsidP="00530889">
            <w:pPr>
              <w:jc w:val="center"/>
              <w:rPr>
                <w:rFonts w:eastAsia="Calibri"/>
                <w:b/>
                <w:szCs w:val="24"/>
              </w:rPr>
            </w:pPr>
            <w:r w:rsidRPr="00117B26">
              <w:rPr>
                <w:rFonts w:eastAsia="Calibri"/>
                <w:b/>
                <w:szCs w:val="24"/>
              </w:rPr>
              <w:t>8.</w:t>
            </w:r>
          </w:p>
        </w:tc>
        <w:tc>
          <w:tcPr>
            <w:tcW w:w="2268" w:type="dxa"/>
          </w:tcPr>
          <w:p w14:paraId="5A842F74" w14:textId="4E832E42" w:rsidR="009D5D11" w:rsidRPr="00117B26" w:rsidRDefault="009D5D11" w:rsidP="00530889">
            <w:pPr>
              <w:jc w:val="both"/>
              <w:rPr>
                <w:rFonts w:eastAsia="Calibri"/>
                <w:b/>
                <w:szCs w:val="24"/>
              </w:rPr>
            </w:pPr>
            <w:r w:rsidRPr="00117B26">
              <w:rPr>
                <w:szCs w:val="24"/>
              </w:rPr>
              <w:t>Naudinga talpa</w:t>
            </w:r>
          </w:p>
        </w:tc>
        <w:tc>
          <w:tcPr>
            <w:tcW w:w="6521" w:type="dxa"/>
          </w:tcPr>
          <w:p w14:paraId="1C1D4E88" w14:textId="5F0F2C1F" w:rsidR="009D5D11" w:rsidRPr="00117B26" w:rsidRDefault="009D5D11" w:rsidP="00530889">
            <w:pPr>
              <w:jc w:val="both"/>
              <w:rPr>
                <w:rFonts w:eastAsia="Calibri"/>
                <w:b/>
                <w:szCs w:val="24"/>
              </w:rPr>
            </w:pPr>
            <w:r w:rsidRPr="00117B26">
              <w:rPr>
                <w:szCs w:val="24"/>
              </w:rPr>
              <w:t xml:space="preserve">Ne mažiau  1720 TB. Naudinga talpa turi būti realizuota naudojant ne prastesnius kaip NL SAS tipo diskų/modulių junginius, užtikrinančius duomenų išsaugojimą, praradus bet kuriuos du diskus/modulius vienu metu. RAID-6 grupių dydis neturi viršyti 14+2. Sugedusių diskų duomenims atstatyti turi būti pateikta rezervinė erdvė („spare </w:t>
            </w:r>
            <w:proofErr w:type="spellStart"/>
            <w:r w:rsidRPr="00117B26">
              <w:rPr>
                <w:szCs w:val="24"/>
              </w:rPr>
              <w:t>space</w:t>
            </w:r>
            <w:proofErr w:type="spellEnd"/>
            <w:r w:rsidRPr="00117B26">
              <w:rPr>
                <w:szCs w:val="24"/>
              </w:rPr>
              <w:t>“), erdvės talpa turi būti parinkta pagal gamintojo nustatytas rekomendacijas. Rezervinė erdvė nesumuojama į naudingą talpą.</w:t>
            </w:r>
          </w:p>
        </w:tc>
      </w:tr>
      <w:tr w:rsidR="009D5D11" w:rsidRPr="00117B26" w14:paraId="21D90F76" w14:textId="77777777" w:rsidTr="009D5D11">
        <w:tc>
          <w:tcPr>
            <w:tcW w:w="704" w:type="dxa"/>
          </w:tcPr>
          <w:p w14:paraId="118AFD4A" w14:textId="77777777" w:rsidR="009D5D11" w:rsidRPr="00117B26" w:rsidRDefault="009D5D11" w:rsidP="00530889">
            <w:pPr>
              <w:jc w:val="center"/>
              <w:rPr>
                <w:rFonts w:eastAsia="Calibri"/>
                <w:b/>
                <w:szCs w:val="24"/>
              </w:rPr>
            </w:pPr>
            <w:r w:rsidRPr="00117B26">
              <w:rPr>
                <w:rFonts w:eastAsia="Calibri"/>
                <w:b/>
                <w:szCs w:val="24"/>
              </w:rPr>
              <w:t>9.</w:t>
            </w:r>
          </w:p>
        </w:tc>
        <w:tc>
          <w:tcPr>
            <w:tcW w:w="2268" w:type="dxa"/>
          </w:tcPr>
          <w:p w14:paraId="1C23BA68" w14:textId="23DC1A4E" w:rsidR="009D5D11" w:rsidRPr="00117B26" w:rsidRDefault="009D5D11" w:rsidP="00530889">
            <w:pPr>
              <w:jc w:val="both"/>
              <w:rPr>
                <w:rFonts w:eastAsia="Calibri"/>
                <w:b/>
                <w:szCs w:val="24"/>
              </w:rPr>
            </w:pPr>
            <w:r w:rsidRPr="00117B26">
              <w:rPr>
                <w:szCs w:val="24"/>
              </w:rPr>
              <w:t>RAID lygio funkcionalumas</w:t>
            </w:r>
          </w:p>
        </w:tc>
        <w:tc>
          <w:tcPr>
            <w:tcW w:w="6521" w:type="dxa"/>
          </w:tcPr>
          <w:p w14:paraId="21B2D5F0" w14:textId="4DE9E732" w:rsidR="009D5D11" w:rsidRPr="00117B26" w:rsidRDefault="009D5D11" w:rsidP="00530889">
            <w:pPr>
              <w:jc w:val="both"/>
              <w:rPr>
                <w:rFonts w:eastAsia="Calibri"/>
                <w:b/>
                <w:szCs w:val="24"/>
              </w:rPr>
            </w:pPr>
            <w:r w:rsidRPr="00117B26">
              <w:rPr>
                <w:szCs w:val="24"/>
              </w:rPr>
              <w:t>Turi palaikyti RAID 60 arba DRAID 6 arba DDP, arba lygiaverčius RAID lygius.</w:t>
            </w:r>
          </w:p>
        </w:tc>
      </w:tr>
      <w:tr w:rsidR="009D5D11" w:rsidRPr="00117B26" w14:paraId="30EF7227" w14:textId="77777777" w:rsidTr="009D5D11">
        <w:tc>
          <w:tcPr>
            <w:tcW w:w="704" w:type="dxa"/>
          </w:tcPr>
          <w:p w14:paraId="1F32D57F" w14:textId="77777777" w:rsidR="009D5D11" w:rsidRPr="00117B26" w:rsidRDefault="009D5D11" w:rsidP="00530889">
            <w:pPr>
              <w:jc w:val="center"/>
              <w:rPr>
                <w:rFonts w:eastAsia="Calibri"/>
                <w:b/>
                <w:szCs w:val="24"/>
              </w:rPr>
            </w:pPr>
            <w:r w:rsidRPr="00117B26">
              <w:rPr>
                <w:rFonts w:eastAsia="Calibri"/>
                <w:b/>
                <w:szCs w:val="24"/>
              </w:rPr>
              <w:t>10.</w:t>
            </w:r>
          </w:p>
        </w:tc>
        <w:tc>
          <w:tcPr>
            <w:tcW w:w="2268" w:type="dxa"/>
          </w:tcPr>
          <w:p w14:paraId="7C352261" w14:textId="2157403C" w:rsidR="009D5D11" w:rsidRPr="00117B26" w:rsidRDefault="009D5D11" w:rsidP="00530889">
            <w:pPr>
              <w:jc w:val="both"/>
              <w:rPr>
                <w:rFonts w:eastAsia="Calibri"/>
                <w:b/>
                <w:szCs w:val="24"/>
              </w:rPr>
            </w:pPr>
            <w:r w:rsidRPr="00117B26">
              <w:rPr>
                <w:szCs w:val="24"/>
              </w:rPr>
              <w:t>Saugyklos plečiamumas</w:t>
            </w:r>
          </w:p>
        </w:tc>
        <w:tc>
          <w:tcPr>
            <w:tcW w:w="6521" w:type="dxa"/>
          </w:tcPr>
          <w:p w14:paraId="1D74DAC0" w14:textId="2B47F3D2" w:rsidR="009D5D11" w:rsidRPr="00117B26" w:rsidRDefault="009D5D11" w:rsidP="00530889">
            <w:pPr>
              <w:jc w:val="both"/>
              <w:rPr>
                <w:rFonts w:eastAsia="Calibri"/>
                <w:b/>
                <w:szCs w:val="24"/>
              </w:rPr>
            </w:pPr>
            <w:r w:rsidRPr="00117B26">
              <w:rPr>
                <w:szCs w:val="24"/>
              </w:rPr>
              <w:t xml:space="preserve">Turi būti galimybė išplėsti saugyklos talpą ne mažiau nei du kartus nei pasiūlyta saugyklos talpa. </w:t>
            </w:r>
          </w:p>
        </w:tc>
      </w:tr>
      <w:tr w:rsidR="009D5D11" w:rsidRPr="00117B26" w14:paraId="2033F9B3" w14:textId="77777777" w:rsidTr="009D5D11">
        <w:tc>
          <w:tcPr>
            <w:tcW w:w="704" w:type="dxa"/>
          </w:tcPr>
          <w:p w14:paraId="6CFB072D" w14:textId="77777777" w:rsidR="009D5D11" w:rsidRPr="00117B26" w:rsidRDefault="009D5D11" w:rsidP="00530889">
            <w:pPr>
              <w:jc w:val="center"/>
              <w:rPr>
                <w:rFonts w:eastAsia="Calibri"/>
                <w:b/>
                <w:szCs w:val="24"/>
              </w:rPr>
            </w:pPr>
            <w:r w:rsidRPr="00117B26">
              <w:rPr>
                <w:rFonts w:eastAsia="Calibri"/>
                <w:b/>
                <w:szCs w:val="24"/>
              </w:rPr>
              <w:t>11.</w:t>
            </w:r>
          </w:p>
        </w:tc>
        <w:tc>
          <w:tcPr>
            <w:tcW w:w="2268" w:type="dxa"/>
          </w:tcPr>
          <w:p w14:paraId="754F2E59" w14:textId="026197B5" w:rsidR="009D5D11" w:rsidRPr="00117B26" w:rsidRDefault="009D5D11" w:rsidP="00530889">
            <w:pPr>
              <w:jc w:val="both"/>
              <w:rPr>
                <w:rFonts w:eastAsia="Calibri"/>
                <w:b/>
                <w:szCs w:val="24"/>
              </w:rPr>
            </w:pPr>
            <w:r w:rsidRPr="00117B26">
              <w:rPr>
                <w:szCs w:val="24"/>
              </w:rPr>
              <w:t>Aukštą patikimumą užtikrinančios savybės</w:t>
            </w:r>
          </w:p>
        </w:tc>
        <w:tc>
          <w:tcPr>
            <w:tcW w:w="6521" w:type="dxa"/>
          </w:tcPr>
          <w:p w14:paraId="79B206D6" w14:textId="7505BB1D" w:rsidR="009D5D11" w:rsidRPr="00117B26" w:rsidRDefault="009D5D11" w:rsidP="00530889">
            <w:pPr>
              <w:jc w:val="both"/>
              <w:rPr>
                <w:rFonts w:eastAsia="Calibri"/>
                <w:b/>
                <w:szCs w:val="24"/>
              </w:rPr>
            </w:pPr>
            <w:r w:rsidRPr="00117B26">
              <w:rPr>
                <w:szCs w:val="24"/>
              </w:rPr>
              <w:t>Visi bendri duomenų saugyklos komponentai turi būti dubliuoti, tame tarpe „karšto keitimo“ maitinimo šaltiniai ir ventiliatoriai, kontroleriai.</w:t>
            </w:r>
          </w:p>
        </w:tc>
      </w:tr>
      <w:tr w:rsidR="009D5D11" w:rsidRPr="00117B26" w14:paraId="77BD288C" w14:textId="77777777" w:rsidTr="009D5D11">
        <w:tc>
          <w:tcPr>
            <w:tcW w:w="704" w:type="dxa"/>
          </w:tcPr>
          <w:p w14:paraId="04FEFCA2" w14:textId="77777777" w:rsidR="009D5D11" w:rsidRPr="00117B26" w:rsidRDefault="009D5D11" w:rsidP="00530889">
            <w:pPr>
              <w:jc w:val="center"/>
              <w:rPr>
                <w:rFonts w:eastAsia="Calibri"/>
                <w:b/>
                <w:szCs w:val="24"/>
              </w:rPr>
            </w:pPr>
            <w:r w:rsidRPr="00117B26">
              <w:rPr>
                <w:rFonts w:eastAsia="Calibri"/>
                <w:b/>
                <w:szCs w:val="24"/>
              </w:rPr>
              <w:t>12.</w:t>
            </w:r>
          </w:p>
        </w:tc>
        <w:tc>
          <w:tcPr>
            <w:tcW w:w="2268" w:type="dxa"/>
          </w:tcPr>
          <w:p w14:paraId="452E7398" w14:textId="77E848DC" w:rsidR="009D5D11" w:rsidRPr="00117B26" w:rsidRDefault="009D5D11" w:rsidP="00530889">
            <w:pPr>
              <w:jc w:val="both"/>
              <w:rPr>
                <w:rFonts w:eastAsia="Calibri"/>
                <w:b/>
                <w:szCs w:val="24"/>
              </w:rPr>
            </w:pPr>
            <w:r w:rsidRPr="00117B26">
              <w:rPr>
                <w:szCs w:val="24"/>
              </w:rPr>
              <w:t>Duomenų šifravimas</w:t>
            </w:r>
          </w:p>
        </w:tc>
        <w:tc>
          <w:tcPr>
            <w:tcW w:w="6521" w:type="dxa"/>
          </w:tcPr>
          <w:p w14:paraId="22157685" w14:textId="25402479" w:rsidR="009D5D11" w:rsidRPr="00117B26" w:rsidRDefault="009D5D11" w:rsidP="00530889">
            <w:pPr>
              <w:jc w:val="both"/>
              <w:rPr>
                <w:rFonts w:eastAsia="Calibri"/>
                <w:b/>
                <w:szCs w:val="24"/>
              </w:rPr>
            </w:pPr>
            <w:r w:rsidRPr="00117B26">
              <w:rPr>
                <w:szCs w:val="24"/>
              </w:rPr>
              <w:t xml:space="preserve">Siūlomai duomenų saugyklai turi būti įdiegtas šifravimo funkcionalumas. Turi būti pateiktos </w:t>
            </w:r>
            <w:r w:rsidRPr="00117B26">
              <w:rPr>
                <w:bCs/>
                <w:szCs w:val="24"/>
              </w:rPr>
              <w:t>tik</w:t>
            </w:r>
            <w:r w:rsidRPr="00117B26">
              <w:rPr>
                <w:b/>
                <w:bCs/>
                <w:szCs w:val="24"/>
              </w:rPr>
              <w:t xml:space="preserve"> </w:t>
            </w:r>
            <w:r w:rsidRPr="00117B26">
              <w:rPr>
                <w:szCs w:val="24"/>
              </w:rPr>
              <w:t>licencinės ir programinės priemonės, užtikrinančios duomenų saugyklos galimybę šifruoti duomenis. Atitinkamai turi būti pateiktos įrenginiui skirtos šifravimo licencijos, visai perkamai duomenų saugyklos talpai.</w:t>
            </w:r>
          </w:p>
        </w:tc>
      </w:tr>
      <w:tr w:rsidR="009D5D11" w:rsidRPr="00117B26" w14:paraId="496C1176" w14:textId="77777777" w:rsidTr="009D5D11">
        <w:tc>
          <w:tcPr>
            <w:tcW w:w="704" w:type="dxa"/>
          </w:tcPr>
          <w:p w14:paraId="2EC97307" w14:textId="77777777" w:rsidR="009D5D11" w:rsidRPr="00117B26" w:rsidRDefault="009D5D11" w:rsidP="00530889">
            <w:pPr>
              <w:jc w:val="center"/>
              <w:rPr>
                <w:rFonts w:eastAsia="Calibri"/>
                <w:b/>
                <w:szCs w:val="24"/>
              </w:rPr>
            </w:pPr>
            <w:r w:rsidRPr="00117B26">
              <w:rPr>
                <w:rFonts w:eastAsia="Calibri"/>
                <w:b/>
                <w:szCs w:val="24"/>
              </w:rPr>
              <w:t>13.</w:t>
            </w:r>
          </w:p>
        </w:tc>
        <w:tc>
          <w:tcPr>
            <w:tcW w:w="2268" w:type="dxa"/>
          </w:tcPr>
          <w:p w14:paraId="014EAA3D" w14:textId="28C3F5DF" w:rsidR="009D5D11" w:rsidRPr="00117B26" w:rsidRDefault="009D5D11" w:rsidP="00530889">
            <w:pPr>
              <w:jc w:val="both"/>
              <w:rPr>
                <w:rFonts w:eastAsia="Calibri"/>
                <w:b/>
                <w:szCs w:val="24"/>
              </w:rPr>
            </w:pPr>
            <w:r w:rsidRPr="00117B26">
              <w:rPr>
                <w:szCs w:val="24"/>
              </w:rPr>
              <w:t>Momentinės duomenų kopijos</w:t>
            </w:r>
          </w:p>
        </w:tc>
        <w:tc>
          <w:tcPr>
            <w:tcW w:w="6521" w:type="dxa"/>
          </w:tcPr>
          <w:p w14:paraId="41E59FB5" w14:textId="00BC4388" w:rsidR="009D5D11" w:rsidRPr="00117B26" w:rsidRDefault="009D5D11" w:rsidP="00530889">
            <w:pPr>
              <w:jc w:val="both"/>
              <w:rPr>
                <w:rFonts w:eastAsia="Calibri"/>
                <w:b/>
                <w:szCs w:val="24"/>
              </w:rPr>
            </w:pPr>
            <w:r w:rsidRPr="00117B26">
              <w:rPr>
                <w:szCs w:val="24"/>
              </w:rPr>
              <w:t>Turi būti galimybė kurti momentines duomenų kopijas (</w:t>
            </w:r>
            <w:proofErr w:type="spellStart"/>
            <w:r w:rsidRPr="00117B26">
              <w:rPr>
                <w:szCs w:val="24"/>
              </w:rPr>
              <w:t>Snapshot</w:t>
            </w:r>
            <w:proofErr w:type="spellEnd"/>
            <w:r w:rsidRPr="00117B26">
              <w:rPr>
                <w:szCs w:val="24"/>
              </w:rPr>
              <w:t xml:space="preserve">). Pradinėje komplektacijoje turi būti pateikta licencija leidžianti padaryti ne mažiau nei 128 vnt. momentinių kopijų. </w:t>
            </w:r>
          </w:p>
        </w:tc>
      </w:tr>
      <w:tr w:rsidR="009D5D11" w:rsidRPr="00117B26" w14:paraId="0DC2C83D" w14:textId="77777777" w:rsidTr="009D5D11">
        <w:tc>
          <w:tcPr>
            <w:tcW w:w="704" w:type="dxa"/>
          </w:tcPr>
          <w:p w14:paraId="51E6C06C" w14:textId="77777777" w:rsidR="009D5D11" w:rsidRPr="00117B26" w:rsidRDefault="009D5D11" w:rsidP="00530889">
            <w:pPr>
              <w:jc w:val="center"/>
              <w:rPr>
                <w:rFonts w:eastAsia="Calibri"/>
                <w:b/>
                <w:szCs w:val="24"/>
              </w:rPr>
            </w:pPr>
            <w:r w:rsidRPr="00117B26">
              <w:rPr>
                <w:rFonts w:eastAsia="Calibri"/>
                <w:b/>
                <w:szCs w:val="24"/>
              </w:rPr>
              <w:lastRenderedPageBreak/>
              <w:t>14.</w:t>
            </w:r>
          </w:p>
        </w:tc>
        <w:tc>
          <w:tcPr>
            <w:tcW w:w="2268" w:type="dxa"/>
          </w:tcPr>
          <w:p w14:paraId="1C70BFEF" w14:textId="517771E0" w:rsidR="009D5D11" w:rsidRPr="00117B26" w:rsidRDefault="009D5D11" w:rsidP="00530889">
            <w:pPr>
              <w:jc w:val="both"/>
              <w:rPr>
                <w:rFonts w:eastAsia="Calibri"/>
                <w:b/>
                <w:szCs w:val="24"/>
              </w:rPr>
            </w:pPr>
            <w:r w:rsidRPr="00117B26">
              <w:rPr>
                <w:szCs w:val="24"/>
              </w:rPr>
              <w:t xml:space="preserve">Nuotolinis kopijavimas </w:t>
            </w:r>
          </w:p>
        </w:tc>
        <w:tc>
          <w:tcPr>
            <w:tcW w:w="6521" w:type="dxa"/>
          </w:tcPr>
          <w:p w14:paraId="6E58846D" w14:textId="77777777" w:rsidR="009D5D11" w:rsidRPr="00117B26" w:rsidRDefault="009D5D11" w:rsidP="007804AD">
            <w:pPr>
              <w:pStyle w:val="Antrats"/>
              <w:tabs>
                <w:tab w:val="clear" w:pos="4153"/>
                <w:tab w:val="clear" w:pos="8306"/>
              </w:tabs>
              <w:jc w:val="both"/>
              <w:rPr>
                <w:szCs w:val="24"/>
              </w:rPr>
            </w:pPr>
            <w:r w:rsidRPr="00117B26">
              <w:rPr>
                <w:szCs w:val="24"/>
              </w:rPr>
              <w:t>Siūloma saugykla turi turėti galimybę nuotoliniam sinchroniniam ir asinchroniniam duomenų replikavimui.</w:t>
            </w:r>
          </w:p>
          <w:p w14:paraId="2C7FFF5A" w14:textId="54DD3E09" w:rsidR="009D5D11" w:rsidRPr="00117B26" w:rsidRDefault="009D5D11" w:rsidP="00530889">
            <w:pPr>
              <w:jc w:val="both"/>
              <w:rPr>
                <w:rFonts w:eastAsia="Calibri"/>
                <w:b/>
                <w:szCs w:val="24"/>
              </w:rPr>
            </w:pPr>
            <w:r w:rsidRPr="00117B26">
              <w:rPr>
                <w:szCs w:val="24"/>
              </w:rPr>
              <w:t>Atitinkamai turi būti pateiktos įrenginiui skirtos replikavimo licencijos visai perkamai duomenų saugyklos talpai.</w:t>
            </w:r>
          </w:p>
        </w:tc>
      </w:tr>
      <w:tr w:rsidR="009D5D11" w:rsidRPr="00117B26" w14:paraId="12F6D509" w14:textId="77777777" w:rsidTr="009D5D11">
        <w:tc>
          <w:tcPr>
            <w:tcW w:w="704" w:type="dxa"/>
          </w:tcPr>
          <w:p w14:paraId="04887932" w14:textId="77777777" w:rsidR="009D5D11" w:rsidRPr="00117B26" w:rsidRDefault="009D5D11" w:rsidP="00530889">
            <w:pPr>
              <w:jc w:val="center"/>
              <w:rPr>
                <w:rFonts w:eastAsia="Calibri"/>
                <w:b/>
                <w:szCs w:val="24"/>
              </w:rPr>
            </w:pPr>
            <w:r w:rsidRPr="00117B26">
              <w:rPr>
                <w:rFonts w:eastAsia="Calibri"/>
                <w:b/>
                <w:szCs w:val="24"/>
              </w:rPr>
              <w:t>15.</w:t>
            </w:r>
          </w:p>
        </w:tc>
        <w:tc>
          <w:tcPr>
            <w:tcW w:w="2268" w:type="dxa"/>
          </w:tcPr>
          <w:p w14:paraId="029E2D03" w14:textId="46A1C399" w:rsidR="009D5D11" w:rsidRPr="00117B26" w:rsidRDefault="009D5D11" w:rsidP="00530889">
            <w:pPr>
              <w:jc w:val="both"/>
              <w:rPr>
                <w:rFonts w:eastAsia="Calibri"/>
                <w:b/>
                <w:szCs w:val="24"/>
              </w:rPr>
            </w:pPr>
            <w:r w:rsidRPr="00117B26">
              <w:rPr>
                <w:szCs w:val="24"/>
              </w:rPr>
              <w:t>Saugyklos būsenos, talpos ir našumo stebėjimas ir valdymas</w:t>
            </w:r>
          </w:p>
        </w:tc>
        <w:tc>
          <w:tcPr>
            <w:tcW w:w="6521" w:type="dxa"/>
          </w:tcPr>
          <w:p w14:paraId="46D9A6BD" w14:textId="77777777" w:rsidR="009D5D11" w:rsidRPr="00117B26" w:rsidRDefault="009D5D11" w:rsidP="007804AD">
            <w:pPr>
              <w:pStyle w:val="Antrats"/>
              <w:jc w:val="both"/>
              <w:rPr>
                <w:szCs w:val="24"/>
              </w:rPr>
            </w:pPr>
            <w:r w:rsidRPr="00117B26">
              <w:rPr>
                <w:szCs w:val="24"/>
              </w:rPr>
              <w:t>Turi būti pateikta saugyklos stebėjimo programinė įranga, leidžianti stebėti saugyklos parametrus tiek realiu laiku, tiek kaupianti ilgalaikę statistiką (ne mažiau kaip 1 metai) apie saugyklos būseną, talpos užpildymą ir duomenų suspaudimą, našumo rodiklius.</w:t>
            </w:r>
          </w:p>
          <w:p w14:paraId="26DE788E" w14:textId="77777777" w:rsidR="009D5D11" w:rsidRPr="00117B26" w:rsidRDefault="009D5D11" w:rsidP="007804AD">
            <w:pPr>
              <w:pStyle w:val="Antrats"/>
              <w:jc w:val="both"/>
              <w:rPr>
                <w:szCs w:val="24"/>
              </w:rPr>
            </w:pPr>
            <w:r w:rsidRPr="00117B26">
              <w:rPr>
                <w:szCs w:val="24"/>
              </w:rPr>
              <w:t>Stebėjimo programinė įranga turi generuoti įspėjimus apie viršytus leistinus rodiklius bei apie neįprastą parametrų pasikeitimą.</w:t>
            </w:r>
          </w:p>
          <w:p w14:paraId="09318843" w14:textId="3FC39589" w:rsidR="009D5D11" w:rsidRPr="00117B26" w:rsidRDefault="009D5D11" w:rsidP="00530889">
            <w:pPr>
              <w:jc w:val="both"/>
              <w:rPr>
                <w:rFonts w:eastAsia="Calibri"/>
                <w:b/>
                <w:szCs w:val="24"/>
              </w:rPr>
            </w:pPr>
            <w:r w:rsidRPr="00117B26">
              <w:rPr>
                <w:szCs w:val="24"/>
              </w:rPr>
              <w:t>Informacija turi būti pateikiama grafiniu ir tekstiniu pavidalu, turi būti galima sukonfigūruoti reguliarių ataskaitų generavimą. Atitinkamai turi būti pateiktos įrenginiui skirtos licencijos visai perkamai duomenų saugyklos talpai.</w:t>
            </w:r>
          </w:p>
        </w:tc>
      </w:tr>
      <w:tr w:rsidR="009D5D11" w:rsidRPr="00117B26" w14:paraId="6D10E187" w14:textId="77777777" w:rsidTr="009D5D11">
        <w:tc>
          <w:tcPr>
            <w:tcW w:w="704" w:type="dxa"/>
          </w:tcPr>
          <w:p w14:paraId="2257753E" w14:textId="77777777" w:rsidR="009D5D11" w:rsidRPr="00117B26" w:rsidRDefault="009D5D11" w:rsidP="00530889">
            <w:pPr>
              <w:jc w:val="center"/>
              <w:rPr>
                <w:rFonts w:eastAsia="Calibri"/>
                <w:b/>
                <w:szCs w:val="24"/>
              </w:rPr>
            </w:pPr>
            <w:r w:rsidRPr="00117B26">
              <w:rPr>
                <w:rFonts w:eastAsia="Calibri"/>
                <w:b/>
                <w:szCs w:val="24"/>
              </w:rPr>
              <w:t>16.</w:t>
            </w:r>
          </w:p>
        </w:tc>
        <w:tc>
          <w:tcPr>
            <w:tcW w:w="2268" w:type="dxa"/>
          </w:tcPr>
          <w:p w14:paraId="10397D21" w14:textId="4D4C7A37" w:rsidR="009D5D11" w:rsidRPr="00117B26" w:rsidRDefault="009D5D11" w:rsidP="00530889">
            <w:pPr>
              <w:jc w:val="both"/>
              <w:rPr>
                <w:rFonts w:eastAsia="Calibri"/>
                <w:b/>
                <w:szCs w:val="24"/>
              </w:rPr>
            </w:pPr>
            <w:r w:rsidRPr="00117B26">
              <w:rPr>
                <w:szCs w:val="24"/>
              </w:rPr>
              <w:t>Konstrukcija</w:t>
            </w:r>
          </w:p>
        </w:tc>
        <w:tc>
          <w:tcPr>
            <w:tcW w:w="6521" w:type="dxa"/>
          </w:tcPr>
          <w:p w14:paraId="088217E9" w14:textId="09F97AD5" w:rsidR="009D5D11" w:rsidRPr="00117B26" w:rsidRDefault="009D5D11" w:rsidP="00530889">
            <w:pPr>
              <w:jc w:val="both"/>
              <w:rPr>
                <w:rFonts w:eastAsia="Calibri"/>
                <w:b/>
                <w:szCs w:val="24"/>
              </w:rPr>
            </w:pPr>
            <w:r w:rsidRPr="00117B26">
              <w:rPr>
                <w:szCs w:val="24"/>
              </w:rPr>
              <w:t xml:space="preserve">Duomenų saugykla turi būti montuojama į standartinę 19” komutavimo spintą. Ne didesnė nei 8U vietos. Turi būti pateikti visi tam montavimui būtini priedai. </w:t>
            </w:r>
          </w:p>
        </w:tc>
      </w:tr>
      <w:tr w:rsidR="009D5D11" w:rsidRPr="00117B26" w14:paraId="6319B101" w14:textId="77777777" w:rsidTr="009D5D11">
        <w:tc>
          <w:tcPr>
            <w:tcW w:w="704" w:type="dxa"/>
          </w:tcPr>
          <w:p w14:paraId="3BA8F57A" w14:textId="77777777" w:rsidR="009D5D11" w:rsidRPr="00117B26" w:rsidRDefault="009D5D11" w:rsidP="00530889">
            <w:pPr>
              <w:jc w:val="center"/>
              <w:rPr>
                <w:rFonts w:eastAsia="Calibri"/>
                <w:b/>
                <w:szCs w:val="24"/>
              </w:rPr>
            </w:pPr>
            <w:r w:rsidRPr="00117B26">
              <w:rPr>
                <w:rFonts w:eastAsia="Calibri"/>
                <w:b/>
                <w:szCs w:val="24"/>
              </w:rPr>
              <w:t>17.</w:t>
            </w:r>
          </w:p>
        </w:tc>
        <w:tc>
          <w:tcPr>
            <w:tcW w:w="2268" w:type="dxa"/>
          </w:tcPr>
          <w:p w14:paraId="5BDE166C" w14:textId="42E9F19B" w:rsidR="009D5D11" w:rsidRPr="00117B26" w:rsidRDefault="009D5D11" w:rsidP="00530889">
            <w:pPr>
              <w:jc w:val="both"/>
              <w:rPr>
                <w:rFonts w:eastAsia="Calibri"/>
                <w:b/>
                <w:szCs w:val="24"/>
              </w:rPr>
            </w:pPr>
            <w:r w:rsidRPr="00117B26">
              <w:rPr>
                <w:szCs w:val="24"/>
              </w:rPr>
              <w:t>Įrangos garantinė priežiūra</w:t>
            </w:r>
          </w:p>
        </w:tc>
        <w:tc>
          <w:tcPr>
            <w:tcW w:w="6521" w:type="dxa"/>
          </w:tcPr>
          <w:p w14:paraId="720F038D" w14:textId="746A4B6C" w:rsidR="009D5D11" w:rsidRPr="00117B26" w:rsidRDefault="009D5D11" w:rsidP="00530889">
            <w:pPr>
              <w:jc w:val="both"/>
              <w:rPr>
                <w:rFonts w:eastAsia="Calibri"/>
                <w:b/>
                <w:szCs w:val="24"/>
              </w:rPr>
            </w:pPr>
            <w:r w:rsidRPr="00117B26">
              <w:rPr>
                <w:spacing w:val="-4"/>
                <w:szCs w:val="24"/>
              </w:rPr>
              <w:t xml:space="preserve">Įrangai turi būti suteiktas </w:t>
            </w:r>
            <w:r w:rsidR="0078425D">
              <w:rPr>
                <w:spacing w:val="-4"/>
                <w:szCs w:val="24"/>
              </w:rPr>
              <w:t xml:space="preserve">ne mažiau </w:t>
            </w:r>
            <w:r w:rsidRPr="00117B26">
              <w:rPr>
                <w:spacing w:val="-4"/>
                <w:szCs w:val="24"/>
              </w:rPr>
              <w:t>36</w:t>
            </w:r>
            <w:r w:rsidRPr="00117B26">
              <w:rPr>
                <w:szCs w:val="24"/>
              </w:rPr>
              <w:t xml:space="preserve"> mėn. </w:t>
            </w:r>
            <w:r w:rsidRPr="00117B26">
              <w:rPr>
                <w:spacing w:val="-4"/>
                <w:szCs w:val="24"/>
              </w:rPr>
              <w:t>gamintojo garantinis aptarnavimas įrangos eksploatavimo vietoje. Reakcijos į užklausą la</w:t>
            </w:r>
            <w:r>
              <w:rPr>
                <w:spacing w:val="-4"/>
                <w:szCs w:val="24"/>
              </w:rPr>
              <w:t>i</w:t>
            </w:r>
            <w:r w:rsidRPr="00117B26">
              <w:rPr>
                <w:spacing w:val="-4"/>
                <w:szCs w:val="24"/>
              </w:rPr>
              <w:t>kas – ne vėliau kaip sekanti darbo diena. Turi būti užtikrintas nemokamas atsarginių dalių tiekimas ir nemokami remonto darbai. Visi aukščiau išvardinti reikalavimai privalo būti garantuojami gamintojo. Kartu su pasiūlymu turi būti pateiktas raštiškas siūlomos įrangos gamintojo arba gamintojo įgaliotinio patvirtintas dokumentas (su nurodytais komplektuojamų garantinio aptarnavimo paslaugos pavadinimais ir kodais), kad siūlomai įrangai bus užtikrintas reikalaujamas garantinis aptarnavimas Lietuvoje ir kad siūloma įranga yra skirta perkančiajai organizacijai.</w:t>
            </w:r>
          </w:p>
        </w:tc>
      </w:tr>
      <w:tr w:rsidR="009D5D11" w:rsidRPr="00117B26" w14:paraId="5BA68C60" w14:textId="77777777" w:rsidTr="009D5D11">
        <w:tc>
          <w:tcPr>
            <w:tcW w:w="704" w:type="dxa"/>
          </w:tcPr>
          <w:p w14:paraId="6BA85D4F" w14:textId="77777777" w:rsidR="009D5D11" w:rsidRPr="00117B26" w:rsidRDefault="009D5D11" w:rsidP="00530889">
            <w:pPr>
              <w:jc w:val="center"/>
              <w:rPr>
                <w:rFonts w:eastAsia="Calibri"/>
                <w:b/>
                <w:szCs w:val="24"/>
              </w:rPr>
            </w:pPr>
            <w:r w:rsidRPr="00117B26">
              <w:rPr>
                <w:rFonts w:eastAsia="Calibri"/>
                <w:b/>
                <w:szCs w:val="24"/>
              </w:rPr>
              <w:t>18.</w:t>
            </w:r>
          </w:p>
        </w:tc>
        <w:tc>
          <w:tcPr>
            <w:tcW w:w="2268" w:type="dxa"/>
          </w:tcPr>
          <w:p w14:paraId="351099C2" w14:textId="5F797ABA" w:rsidR="009D5D11" w:rsidRPr="00117B26" w:rsidRDefault="009D5D11" w:rsidP="00530889">
            <w:pPr>
              <w:jc w:val="both"/>
              <w:rPr>
                <w:rFonts w:eastAsia="Calibri"/>
                <w:b/>
                <w:szCs w:val="24"/>
              </w:rPr>
            </w:pPr>
            <w:r w:rsidRPr="00117B26">
              <w:rPr>
                <w:szCs w:val="24"/>
              </w:rPr>
              <w:t>Naujumo reikalavimai</w:t>
            </w:r>
          </w:p>
        </w:tc>
        <w:tc>
          <w:tcPr>
            <w:tcW w:w="6521" w:type="dxa"/>
          </w:tcPr>
          <w:p w14:paraId="58E77D45" w14:textId="526629E8" w:rsidR="009D5D11" w:rsidRPr="00117B26" w:rsidRDefault="009D5D11" w:rsidP="00530889">
            <w:pPr>
              <w:jc w:val="both"/>
              <w:rPr>
                <w:rFonts w:eastAsia="Calibri"/>
                <w:b/>
                <w:szCs w:val="24"/>
              </w:rPr>
            </w:pPr>
            <w:r w:rsidRPr="00117B26">
              <w:rPr>
                <w:szCs w:val="24"/>
              </w:rPr>
              <w:t>Visa siūloma įranga turi būti nauja, negalima siūlyti naudotos ir / arba atnaujintos įrangos.</w:t>
            </w:r>
          </w:p>
        </w:tc>
      </w:tr>
      <w:tr w:rsidR="009D5D11" w:rsidRPr="00117B26" w14:paraId="62074E33" w14:textId="77777777" w:rsidTr="009D5D11">
        <w:trPr>
          <w:trHeight w:val="4095"/>
        </w:trPr>
        <w:tc>
          <w:tcPr>
            <w:tcW w:w="704" w:type="dxa"/>
          </w:tcPr>
          <w:p w14:paraId="1F641F3C" w14:textId="77777777" w:rsidR="009D5D11" w:rsidRPr="00117B26" w:rsidRDefault="009D5D11" w:rsidP="00530889">
            <w:pPr>
              <w:jc w:val="center"/>
              <w:rPr>
                <w:rFonts w:eastAsia="Calibri"/>
                <w:b/>
                <w:szCs w:val="24"/>
              </w:rPr>
            </w:pPr>
            <w:r w:rsidRPr="00117B26">
              <w:rPr>
                <w:rFonts w:eastAsia="Calibri"/>
                <w:b/>
                <w:szCs w:val="24"/>
              </w:rPr>
              <w:t>19.</w:t>
            </w:r>
          </w:p>
        </w:tc>
        <w:tc>
          <w:tcPr>
            <w:tcW w:w="2268" w:type="dxa"/>
          </w:tcPr>
          <w:p w14:paraId="5F0F0AE6" w14:textId="0F7C5EB0" w:rsidR="009D5D11" w:rsidRPr="00C22364" w:rsidRDefault="009D5D11" w:rsidP="00530889">
            <w:pPr>
              <w:jc w:val="both"/>
              <w:rPr>
                <w:szCs w:val="24"/>
              </w:rPr>
            </w:pPr>
            <w:r w:rsidRPr="00117B26">
              <w:rPr>
                <w:szCs w:val="24"/>
              </w:rPr>
              <w:t>Diegimo darbai</w:t>
            </w:r>
          </w:p>
        </w:tc>
        <w:tc>
          <w:tcPr>
            <w:tcW w:w="6521" w:type="dxa"/>
          </w:tcPr>
          <w:p w14:paraId="5F220C0B" w14:textId="40A960D1" w:rsidR="009D5D11" w:rsidRPr="00117B26" w:rsidRDefault="009D5D11" w:rsidP="00530889">
            <w:pPr>
              <w:jc w:val="both"/>
              <w:rPr>
                <w:rFonts w:eastAsia="Calibri"/>
                <w:b/>
                <w:szCs w:val="24"/>
              </w:rPr>
            </w:pPr>
            <w:r w:rsidRPr="00117B26">
              <w:rPr>
                <w:szCs w:val="24"/>
              </w:rPr>
              <w:t>Pristatyta duomenų saugyklų įranga turi būti sumontuota ir prijungta prie užsakovo infrastruktūros, kabeliai turi būti sužymėti. Turi būti atliktas įrangos inicializavimas patikrinta, kad duomenų saugykla funkcionuoja tinkamai. Jei reikalinga, turi būti atnaujinta duomenų saugyklų programinė įranga. Diegimo darbai neapima visų reikalingų loginių diskų konfigūravimo ir jų pateikimo užsakovo tarnybinėms stotims.</w:t>
            </w:r>
          </w:p>
        </w:tc>
      </w:tr>
      <w:tr w:rsidR="009D5D11" w:rsidRPr="00117B26" w14:paraId="1622F94F" w14:textId="77777777" w:rsidTr="009D5D11">
        <w:trPr>
          <w:trHeight w:val="1140"/>
        </w:trPr>
        <w:tc>
          <w:tcPr>
            <w:tcW w:w="704" w:type="dxa"/>
          </w:tcPr>
          <w:p w14:paraId="133C9665" w14:textId="366314F3" w:rsidR="009D5D11" w:rsidRPr="00117B26" w:rsidRDefault="009D5D11" w:rsidP="00530889">
            <w:pPr>
              <w:jc w:val="center"/>
              <w:rPr>
                <w:rFonts w:eastAsia="Calibri"/>
                <w:b/>
                <w:szCs w:val="24"/>
              </w:rPr>
            </w:pPr>
            <w:r>
              <w:rPr>
                <w:rFonts w:eastAsia="Calibri"/>
                <w:b/>
                <w:szCs w:val="24"/>
              </w:rPr>
              <w:t>20.</w:t>
            </w:r>
          </w:p>
        </w:tc>
        <w:tc>
          <w:tcPr>
            <w:tcW w:w="2268" w:type="dxa"/>
          </w:tcPr>
          <w:p w14:paraId="1662663A" w14:textId="2C6FFEFA" w:rsidR="009D5D11" w:rsidRPr="00C22364" w:rsidRDefault="009D5D11" w:rsidP="00530889">
            <w:pPr>
              <w:jc w:val="both"/>
              <w:rPr>
                <w:bCs/>
                <w:szCs w:val="24"/>
              </w:rPr>
            </w:pPr>
            <w:r w:rsidRPr="00293F84">
              <w:rPr>
                <w:bCs/>
                <w:szCs w:val="24"/>
              </w:rPr>
              <w:t>Aplinkosauginiai reikalavimai</w:t>
            </w:r>
          </w:p>
        </w:tc>
        <w:tc>
          <w:tcPr>
            <w:tcW w:w="6521" w:type="dxa"/>
          </w:tcPr>
          <w:p w14:paraId="57F88820" w14:textId="0712C794" w:rsidR="009D5D11" w:rsidRPr="00117B26" w:rsidRDefault="009D5D11" w:rsidP="00530889">
            <w:pPr>
              <w:jc w:val="both"/>
              <w:rPr>
                <w:szCs w:val="24"/>
              </w:rPr>
            </w:pPr>
            <w:r w:rsidRPr="00117B26">
              <w:rPr>
                <w:rFonts w:eastAsia="Calibri"/>
                <w:bCs/>
                <w:szCs w:val="24"/>
              </w:rPr>
              <w:t xml:space="preserve">Prekei pagaminti naudojama mažiau ar nenaudojama pavojingųjų cheminių medžiagų, neteršiama aplinka ir nekeliamas pavojus sveikatai. </w:t>
            </w:r>
            <w:r w:rsidRPr="00117B26">
              <w:rPr>
                <w:rFonts w:eastAsia="Calibri"/>
                <w:b/>
                <w:bCs/>
                <w:szCs w:val="24"/>
              </w:rPr>
              <w:t>Gamintojas</w:t>
            </w:r>
            <w:r w:rsidRPr="00117B26">
              <w:rPr>
                <w:rFonts w:eastAsia="Calibri"/>
                <w:bCs/>
                <w:szCs w:val="24"/>
              </w:rPr>
              <w:t xml:space="preserve"> privalo užtikrinti Europos Sąjungos </w:t>
            </w:r>
            <w:proofErr w:type="spellStart"/>
            <w:r w:rsidRPr="00117B26">
              <w:rPr>
                <w:rFonts w:eastAsia="Calibri"/>
                <w:bCs/>
                <w:szCs w:val="24"/>
              </w:rPr>
              <w:t>RoHS</w:t>
            </w:r>
            <w:proofErr w:type="spellEnd"/>
            <w:r w:rsidRPr="00117B26">
              <w:rPr>
                <w:rFonts w:eastAsia="Calibri"/>
                <w:bCs/>
                <w:szCs w:val="24"/>
              </w:rPr>
              <w:t xml:space="preserve"> (angl. „</w:t>
            </w:r>
            <w:proofErr w:type="spellStart"/>
            <w:r w:rsidRPr="00117B26">
              <w:rPr>
                <w:rFonts w:eastAsia="Calibri"/>
                <w:bCs/>
                <w:szCs w:val="24"/>
              </w:rPr>
              <w:t>Restriction</w:t>
            </w:r>
            <w:proofErr w:type="spellEnd"/>
            <w:r w:rsidRPr="00117B26">
              <w:rPr>
                <w:rFonts w:eastAsia="Calibri"/>
                <w:bCs/>
                <w:szCs w:val="24"/>
              </w:rPr>
              <w:t xml:space="preserve"> </w:t>
            </w:r>
            <w:proofErr w:type="spellStart"/>
            <w:r w:rsidRPr="00117B26">
              <w:rPr>
                <w:rFonts w:eastAsia="Calibri"/>
                <w:bCs/>
                <w:szCs w:val="24"/>
              </w:rPr>
              <w:t>of</w:t>
            </w:r>
            <w:proofErr w:type="spellEnd"/>
            <w:r w:rsidRPr="00117B26">
              <w:rPr>
                <w:rFonts w:eastAsia="Calibri"/>
                <w:bCs/>
                <w:szCs w:val="24"/>
              </w:rPr>
              <w:t xml:space="preserve"> </w:t>
            </w:r>
            <w:proofErr w:type="spellStart"/>
            <w:r w:rsidRPr="00117B26">
              <w:rPr>
                <w:rFonts w:eastAsia="Calibri"/>
                <w:bCs/>
                <w:szCs w:val="24"/>
              </w:rPr>
              <w:t>Hazardous</w:t>
            </w:r>
            <w:proofErr w:type="spellEnd"/>
            <w:r w:rsidRPr="00117B26">
              <w:rPr>
                <w:rFonts w:eastAsia="Calibri"/>
                <w:bCs/>
                <w:szCs w:val="24"/>
              </w:rPr>
              <w:t xml:space="preserve"> </w:t>
            </w:r>
            <w:proofErr w:type="spellStart"/>
            <w:r w:rsidRPr="00117B26">
              <w:rPr>
                <w:rFonts w:eastAsia="Calibri"/>
                <w:bCs/>
                <w:szCs w:val="24"/>
              </w:rPr>
              <w:t>Substances</w:t>
            </w:r>
            <w:proofErr w:type="spellEnd"/>
            <w:r w:rsidRPr="00117B26">
              <w:rPr>
                <w:rFonts w:eastAsia="Calibri"/>
                <w:bCs/>
                <w:szCs w:val="24"/>
              </w:rPr>
              <w:t>“) direktyvų 2011/65/EU (</w:t>
            </w:r>
            <w:proofErr w:type="spellStart"/>
            <w:r w:rsidRPr="00117B26">
              <w:rPr>
                <w:rFonts w:eastAsia="Calibri"/>
                <w:bCs/>
                <w:szCs w:val="24"/>
              </w:rPr>
              <w:t>RoHS</w:t>
            </w:r>
            <w:proofErr w:type="spellEnd"/>
            <w:r w:rsidRPr="00117B26">
              <w:rPr>
                <w:rFonts w:eastAsia="Calibri"/>
                <w:bCs/>
                <w:szCs w:val="24"/>
              </w:rPr>
              <w:t xml:space="preserve"> 2), 2015/863 (</w:t>
            </w:r>
            <w:proofErr w:type="spellStart"/>
            <w:r w:rsidRPr="00117B26">
              <w:rPr>
                <w:rFonts w:eastAsia="Calibri"/>
                <w:bCs/>
                <w:szCs w:val="24"/>
              </w:rPr>
              <w:t>RoHS</w:t>
            </w:r>
            <w:proofErr w:type="spellEnd"/>
            <w:r w:rsidRPr="00117B26">
              <w:rPr>
                <w:rFonts w:eastAsia="Calibri"/>
                <w:bCs/>
                <w:szCs w:val="24"/>
              </w:rPr>
              <w:t xml:space="preserve"> 2 </w:t>
            </w:r>
            <w:proofErr w:type="spellStart"/>
            <w:r w:rsidRPr="00117B26">
              <w:rPr>
                <w:rFonts w:eastAsia="Calibri"/>
                <w:bCs/>
                <w:szCs w:val="24"/>
              </w:rPr>
              <w:t>amendment</w:t>
            </w:r>
            <w:proofErr w:type="spellEnd"/>
            <w:r w:rsidRPr="00117B26">
              <w:rPr>
                <w:rFonts w:eastAsia="Calibri"/>
                <w:bCs/>
                <w:szCs w:val="24"/>
              </w:rPr>
              <w:t xml:space="preserve">)), </w:t>
            </w:r>
            <w:r w:rsidRPr="00117B26">
              <w:rPr>
                <w:rFonts w:eastAsia="Calibri"/>
                <w:bCs/>
                <w:szCs w:val="24"/>
              </w:rPr>
              <w:lastRenderedPageBreak/>
              <w:t xml:space="preserve">draudžiančių gamyboje naudoti  aplinkai ir žmogaus sveikatai pavojingas medžiagas (pvz., gyvsidabrį, kadmį, šviną, </w:t>
            </w:r>
            <w:proofErr w:type="spellStart"/>
            <w:r w:rsidRPr="00117B26">
              <w:rPr>
                <w:rFonts w:eastAsia="Calibri"/>
                <w:bCs/>
                <w:szCs w:val="24"/>
              </w:rPr>
              <w:t>šešiavalentį</w:t>
            </w:r>
            <w:proofErr w:type="spellEnd"/>
            <w:r w:rsidRPr="00117B26">
              <w:rPr>
                <w:rFonts w:eastAsia="Calibri"/>
                <w:bCs/>
                <w:szCs w:val="24"/>
              </w:rPr>
              <w:t xml:space="preserve"> chromą, o taip pat </w:t>
            </w:r>
            <w:proofErr w:type="spellStart"/>
            <w:r w:rsidRPr="00117B26">
              <w:rPr>
                <w:rFonts w:eastAsia="Calibri"/>
                <w:bCs/>
                <w:szCs w:val="24"/>
              </w:rPr>
              <w:t>antipirenus</w:t>
            </w:r>
            <w:proofErr w:type="spellEnd"/>
            <w:r w:rsidRPr="00117B26">
              <w:rPr>
                <w:rFonts w:eastAsia="Calibri"/>
                <w:bCs/>
                <w:szCs w:val="24"/>
              </w:rPr>
              <w:t xml:space="preserve">), reikalavimų įvykdymą. Tiekėjas turi pateikti atitiktį </w:t>
            </w:r>
            <w:proofErr w:type="spellStart"/>
            <w:r w:rsidRPr="00117B26">
              <w:rPr>
                <w:rFonts w:eastAsia="Calibri"/>
                <w:bCs/>
                <w:szCs w:val="24"/>
              </w:rPr>
              <w:t>RoHS</w:t>
            </w:r>
            <w:proofErr w:type="spellEnd"/>
            <w:r w:rsidRPr="00117B26">
              <w:rPr>
                <w:rFonts w:eastAsia="Calibri"/>
                <w:bCs/>
                <w:szCs w:val="24"/>
              </w:rPr>
              <w:t xml:space="preserve"> reikalavimams įrodančius dokumentus: gamintojo atitikties deklaracijos kopiją ar nuorodą į gamintojo puslapį</w:t>
            </w:r>
            <w:r w:rsidR="004B026F">
              <w:rPr>
                <w:rFonts w:eastAsia="Calibri"/>
                <w:bCs/>
                <w:szCs w:val="24"/>
              </w:rPr>
              <w:t xml:space="preserve"> arba kitus lygiaverčius įrodymus</w:t>
            </w:r>
            <w:r w:rsidRPr="00117B26">
              <w:rPr>
                <w:rFonts w:eastAsia="Calibri"/>
                <w:bCs/>
                <w:szCs w:val="24"/>
              </w:rPr>
              <w:t>.</w:t>
            </w:r>
          </w:p>
        </w:tc>
      </w:tr>
    </w:tbl>
    <w:p w14:paraId="31B286BD" w14:textId="77777777" w:rsidR="000B3700" w:rsidRPr="00117B26" w:rsidRDefault="000B3700" w:rsidP="00C22364">
      <w:pPr>
        <w:jc w:val="center"/>
        <w:rPr>
          <w:rFonts w:eastAsia="Calibri"/>
          <w:b/>
          <w:szCs w:val="24"/>
        </w:rPr>
      </w:pPr>
    </w:p>
    <w:p w14:paraId="00479D99" w14:textId="2180876C" w:rsidR="006D60C4" w:rsidRDefault="003E6284" w:rsidP="003E6284">
      <w:pPr>
        <w:jc w:val="center"/>
        <w:rPr>
          <w:color w:val="000000" w:themeColor="text1"/>
          <w:szCs w:val="24"/>
          <w:lang w:eastAsia="lt-LT"/>
        </w:rPr>
      </w:pPr>
      <w:r>
        <w:rPr>
          <w:color w:val="000000" w:themeColor="text1"/>
          <w:szCs w:val="24"/>
          <w:lang w:eastAsia="lt-LT"/>
        </w:rPr>
        <w:t>________________</w:t>
      </w:r>
    </w:p>
    <w:p w14:paraId="69C9B09F" w14:textId="77777777" w:rsidR="00615C96" w:rsidRDefault="00615C96" w:rsidP="003E6284">
      <w:pPr>
        <w:jc w:val="center"/>
        <w:rPr>
          <w:color w:val="000000" w:themeColor="text1"/>
          <w:szCs w:val="24"/>
          <w:lang w:eastAsia="lt-LT"/>
        </w:rPr>
      </w:pPr>
    </w:p>
    <w:p w14:paraId="053020DE" w14:textId="77777777" w:rsidR="00615C96" w:rsidRDefault="00615C96" w:rsidP="003E6284">
      <w:pPr>
        <w:jc w:val="center"/>
        <w:rPr>
          <w:color w:val="000000" w:themeColor="text1"/>
          <w:szCs w:val="24"/>
          <w:lang w:eastAsia="lt-LT"/>
        </w:rPr>
      </w:pPr>
    </w:p>
    <w:tbl>
      <w:tblPr>
        <w:tblW w:w="9474" w:type="dxa"/>
        <w:tblInd w:w="165" w:type="dxa"/>
        <w:tblLook w:val="0000" w:firstRow="0" w:lastRow="0" w:firstColumn="0" w:lastColumn="0" w:noHBand="0" w:noVBand="0"/>
      </w:tblPr>
      <w:tblGrid>
        <w:gridCol w:w="4479"/>
        <w:gridCol w:w="426"/>
        <w:gridCol w:w="4569"/>
      </w:tblGrid>
      <w:tr w:rsidR="000402DD" w:rsidRPr="000402DD" w14:paraId="67DE2A13" w14:textId="77777777" w:rsidTr="004D6C90">
        <w:trPr>
          <w:trHeight w:val="993"/>
        </w:trPr>
        <w:tc>
          <w:tcPr>
            <w:tcW w:w="4479" w:type="dxa"/>
          </w:tcPr>
          <w:p w14:paraId="0DB0A0AC" w14:textId="77777777" w:rsidR="000402DD" w:rsidRPr="000402DD" w:rsidRDefault="000402DD" w:rsidP="000402DD">
            <w:pPr>
              <w:tabs>
                <w:tab w:val="left" w:pos="9630"/>
              </w:tabs>
              <w:suppressAutoHyphens w:val="0"/>
              <w:ind w:right="8"/>
              <w:rPr>
                <w:b/>
                <w:szCs w:val="24"/>
              </w:rPr>
            </w:pPr>
          </w:p>
          <w:p w14:paraId="4C10A07B" w14:textId="0EAA9A2F" w:rsidR="000402DD" w:rsidRPr="000402DD" w:rsidRDefault="003A77DB" w:rsidP="000402DD">
            <w:pPr>
              <w:tabs>
                <w:tab w:val="left" w:pos="720"/>
                <w:tab w:val="left" w:pos="1008"/>
                <w:tab w:val="left" w:pos="9630"/>
              </w:tabs>
              <w:suppressAutoHyphens w:val="0"/>
              <w:ind w:right="8"/>
              <w:rPr>
                <w:b/>
                <w:szCs w:val="24"/>
              </w:rPr>
            </w:pPr>
            <w:r>
              <w:rPr>
                <w:b/>
                <w:szCs w:val="24"/>
              </w:rPr>
              <w:t>PIRKĖJAS</w:t>
            </w:r>
          </w:p>
          <w:p w14:paraId="34E96FCB" w14:textId="77777777" w:rsidR="000402DD" w:rsidRPr="000402DD" w:rsidRDefault="000402DD" w:rsidP="000402DD">
            <w:pPr>
              <w:tabs>
                <w:tab w:val="left" w:pos="720"/>
                <w:tab w:val="left" w:pos="1008"/>
                <w:tab w:val="left" w:pos="9630"/>
              </w:tabs>
              <w:suppressAutoHyphens w:val="0"/>
              <w:ind w:right="8"/>
              <w:rPr>
                <w:szCs w:val="24"/>
              </w:rPr>
            </w:pPr>
          </w:p>
          <w:p w14:paraId="7A7281CE" w14:textId="77777777" w:rsidR="000402DD" w:rsidRPr="000402DD" w:rsidRDefault="000402DD" w:rsidP="000402DD">
            <w:pPr>
              <w:tabs>
                <w:tab w:val="left" w:pos="720"/>
                <w:tab w:val="left" w:pos="1008"/>
                <w:tab w:val="left" w:pos="9630"/>
              </w:tabs>
              <w:suppressAutoHyphens w:val="0"/>
              <w:ind w:right="8"/>
              <w:rPr>
                <w:b/>
                <w:szCs w:val="24"/>
              </w:rPr>
            </w:pPr>
            <w:r w:rsidRPr="000402DD">
              <w:rPr>
                <w:b/>
                <w:szCs w:val="24"/>
              </w:rPr>
              <w:t xml:space="preserve">Informatikos ir ryšių departamentas prie Lietuvos Respublikos vidaus reikalų ministerijos </w:t>
            </w:r>
          </w:p>
          <w:p w14:paraId="15EAAB7B" w14:textId="77777777" w:rsidR="000402DD" w:rsidRPr="000402DD" w:rsidRDefault="000402DD" w:rsidP="000402DD">
            <w:pPr>
              <w:tabs>
                <w:tab w:val="left" w:pos="720"/>
                <w:tab w:val="left" w:pos="1008"/>
                <w:tab w:val="left" w:pos="9630"/>
              </w:tabs>
              <w:suppressAutoHyphens w:val="0"/>
              <w:ind w:right="8"/>
              <w:rPr>
                <w:bCs/>
                <w:szCs w:val="24"/>
              </w:rPr>
            </w:pPr>
          </w:p>
          <w:p w14:paraId="66C15A09" w14:textId="77777777" w:rsidR="000402DD" w:rsidRPr="000402DD" w:rsidRDefault="000402DD" w:rsidP="000402DD">
            <w:pPr>
              <w:tabs>
                <w:tab w:val="left" w:pos="720"/>
                <w:tab w:val="left" w:pos="1008"/>
                <w:tab w:val="left" w:pos="9630"/>
              </w:tabs>
              <w:suppressAutoHyphens w:val="0"/>
              <w:ind w:right="8"/>
              <w:rPr>
                <w:bCs/>
                <w:szCs w:val="24"/>
              </w:rPr>
            </w:pPr>
            <w:r w:rsidRPr="000402DD">
              <w:rPr>
                <w:bCs/>
                <w:szCs w:val="24"/>
              </w:rPr>
              <w:t>Direktorė</w:t>
            </w:r>
          </w:p>
          <w:p w14:paraId="22A7E8A2" w14:textId="77777777" w:rsidR="000402DD" w:rsidRPr="000402DD" w:rsidRDefault="000402DD" w:rsidP="000402DD">
            <w:pPr>
              <w:tabs>
                <w:tab w:val="left" w:pos="9630"/>
              </w:tabs>
              <w:suppressAutoHyphens w:val="0"/>
              <w:rPr>
                <w:szCs w:val="24"/>
              </w:rPr>
            </w:pPr>
            <w:r w:rsidRPr="000402DD">
              <w:rPr>
                <w:bCs/>
                <w:szCs w:val="24"/>
              </w:rPr>
              <w:t xml:space="preserve">Viktorija </w:t>
            </w:r>
            <w:proofErr w:type="spellStart"/>
            <w:r w:rsidRPr="000402DD">
              <w:rPr>
                <w:bCs/>
                <w:szCs w:val="24"/>
              </w:rPr>
              <w:t>Rūkštelė</w:t>
            </w:r>
            <w:proofErr w:type="spellEnd"/>
          </w:p>
        </w:tc>
        <w:tc>
          <w:tcPr>
            <w:tcW w:w="426" w:type="dxa"/>
          </w:tcPr>
          <w:p w14:paraId="1E944EC5" w14:textId="77777777" w:rsidR="000402DD" w:rsidRPr="000402DD" w:rsidRDefault="000402DD" w:rsidP="000402DD">
            <w:pPr>
              <w:keepNext/>
              <w:tabs>
                <w:tab w:val="left" w:pos="9630"/>
              </w:tabs>
              <w:suppressAutoHyphens w:val="0"/>
              <w:ind w:right="8"/>
              <w:jc w:val="both"/>
              <w:outlineLvl w:val="0"/>
              <w:rPr>
                <w:rFonts w:eastAsia="Arial Unicode MS"/>
                <w:b/>
                <w:bCs/>
                <w:szCs w:val="24"/>
              </w:rPr>
            </w:pPr>
          </w:p>
        </w:tc>
        <w:tc>
          <w:tcPr>
            <w:tcW w:w="4569" w:type="dxa"/>
          </w:tcPr>
          <w:p w14:paraId="3A9E8CB8" w14:textId="77777777" w:rsidR="000402DD" w:rsidRPr="000402DD" w:rsidRDefault="000402DD" w:rsidP="000402DD">
            <w:pPr>
              <w:keepNext/>
              <w:tabs>
                <w:tab w:val="left" w:pos="9630"/>
              </w:tabs>
              <w:suppressAutoHyphens w:val="0"/>
              <w:ind w:right="8"/>
              <w:jc w:val="both"/>
              <w:outlineLvl w:val="0"/>
              <w:rPr>
                <w:rFonts w:eastAsia="Arial Unicode MS"/>
                <w:b/>
                <w:bCs/>
                <w:szCs w:val="24"/>
              </w:rPr>
            </w:pPr>
          </w:p>
          <w:p w14:paraId="6F894EAD" w14:textId="4420B58A" w:rsidR="000402DD" w:rsidRPr="000402DD" w:rsidRDefault="000402DD" w:rsidP="000402DD">
            <w:pPr>
              <w:keepNext/>
              <w:tabs>
                <w:tab w:val="left" w:pos="9630"/>
              </w:tabs>
              <w:suppressAutoHyphens w:val="0"/>
              <w:ind w:right="8"/>
              <w:jc w:val="both"/>
              <w:outlineLvl w:val="0"/>
              <w:rPr>
                <w:rFonts w:eastAsia="Arial Unicode MS"/>
                <w:b/>
                <w:bCs/>
                <w:szCs w:val="24"/>
              </w:rPr>
            </w:pPr>
            <w:r>
              <w:rPr>
                <w:rFonts w:eastAsia="Arial Unicode MS"/>
                <w:b/>
                <w:bCs/>
                <w:szCs w:val="24"/>
              </w:rPr>
              <w:t>TIE</w:t>
            </w:r>
            <w:r w:rsidRPr="000402DD">
              <w:rPr>
                <w:rFonts w:eastAsia="Arial Unicode MS"/>
                <w:b/>
                <w:bCs/>
                <w:szCs w:val="24"/>
              </w:rPr>
              <w:t>KĖJAS</w:t>
            </w:r>
          </w:p>
          <w:p w14:paraId="019C28E7" w14:textId="77777777" w:rsidR="000402DD" w:rsidRPr="000402DD" w:rsidRDefault="000402DD" w:rsidP="000402DD">
            <w:pPr>
              <w:tabs>
                <w:tab w:val="left" w:pos="9630"/>
              </w:tabs>
              <w:suppressAutoHyphens w:val="0"/>
              <w:ind w:right="8"/>
              <w:jc w:val="both"/>
              <w:rPr>
                <w:b/>
                <w:szCs w:val="24"/>
                <w:lang w:eastAsia="lt-LT"/>
              </w:rPr>
            </w:pPr>
          </w:p>
          <w:p w14:paraId="68C02EFB" w14:textId="6BA95045" w:rsidR="000402DD" w:rsidRPr="000402DD" w:rsidRDefault="003B3AC9" w:rsidP="000402DD">
            <w:pPr>
              <w:suppressAutoHyphens w:val="0"/>
              <w:rPr>
                <w:szCs w:val="24"/>
              </w:rPr>
            </w:pPr>
            <w:proofErr w:type="spellStart"/>
            <w:r w:rsidRPr="003B3AC9">
              <w:rPr>
                <w:b/>
                <w:bCs/>
                <w:szCs w:val="24"/>
              </w:rPr>
              <w:t>Blue</w:t>
            </w:r>
            <w:proofErr w:type="spellEnd"/>
            <w:r w:rsidRPr="003B3AC9">
              <w:rPr>
                <w:b/>
                <w:bCs/>
                <w:szCs w:val="24"/>
              </w:rPr>
              <w:t xml:space="preserve"> </w:t>
            </w:r>
            <w:proofErr w:type="spellStart"/>
            <w:r w:rsidRPr="003B3AC9">
              <w:rPr>
                <w:b/>
                <w:bCs/>
                <w:szCs w:val="24"/>
              </w:rPr>
              <w:t>Bridge</w:t>
            </w:r>
            <w:proofErr w:type="spellEnd"/>
            <w:r w:rsidRPr="003B3AC9">
              <w:rPr>
                <w:b/>
                <w:bCs/>
                <w:szCs w:val="24"/>
              </w:rPr>
              <w:t xml:space="preserve"> MSP, UAB</w:t>
            </w:r>
          </w:p>
          <w:p w14:paraId="2FD73B56" w14:textId="77777777" w:rsidR="000402DD" w:rsidRPr="000402DD" w:rsidRDefault="000402DD" w:rsidP="000402DD">
            <w:pPr>
              <w:suppressAutoHyphens w:val="0"/>
              <w:rPr>
                <w:szCs w:val="24"/>
              </w:rPr>
            </w:pPr>
          </w:p>
          <w:p w14:paraId="658F5040" w14:textId="77777777" w:rsidR="00F13C36" w:rsidRDefault="00F13C36" w:rsidP="000402DD">
            <w:pPr>
              <w:suppressAutoHyphens w:val="0"/>
              <w:rPr>
                <w:szCs w:val="24"/>
              </w:rPr>
            </w:pPr>
          </w:p>
          <w:p w14:paraId="002D5945" w14:textId="77777777" w:rsidR="00F13C36" w:rsidRDefault="00F13C36" w:rsidP="000402DD">
            <w:pPr>
              <w:suppressAutoHyphens w:val="0"/>
              <w:rPr>
                <w:szCs w:val="24"/>
              </w:rPr>
            </w:pPr>
          </w:p>
          <w:p w14:paraId="6F0C1826" w14:textId="520E0D9E" w:rsidR="000402DD" w:rsidRDefault="00F13C36" w:rsidP="000402DD">
            <w:pPr>
              <w:suppressAutoHyphens w:val="0"/>
              <w:rPr>
                <w:szCs w:val="24"/>
              </w:rPr>
            </w:pPr>
            <w:r>
              <w:rPr>
                <w:szCs w:val="24"/>
              </w:rPr>
              <w:t>Komercijos direktorius</w:t>
            </w:r>
          </w:p>
          <w:p w14:paraId="3A6FA372" w14:textId="6A4096B6" w:rsidR="000402DD" w:rsidRPr="000402DD" w:rsidRDefault="000402DD" w:rsidP="009F018C">
            <w:pPr>
              <w:suppressAutoHyphens w:val="0"/>
              <w:rPr>
                <w:szCs w:val="24"/>
              </w:rPr>
            </w:pPr>
          </w:p>
        </w:tc>
      </w:tr>
    </w:tbl>
    <w:p w14:paraId="60C01C1A" w14:textId="77777777" w:rsidR="00615C96" w:rsidRPr="003E6284" w:rsidRDefault="00615C96" w:rsidP="003E6284">
      <w:pPr>
        <w:jc w:val="center"/>
        <w:rPr>
          <w:color w:val="000000" w:themeColor="text1"/>
          <w:szCs w:val="24"/>
          <w:lang w:eastAsia="lt-LT"/>
        </w:rPr>
      </w:pPr>
    </w:p>
    <w:sectPr w:rsidR="00615C96" w:rsidRPr="003E6284" w:rsidSect="003E628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F4B1" w14:textId="77777777" w:rsidR="00777D9E" w:rsidRDefault="00777D9E" w:rsidP="00013F00">
      <w:r>
        <w:separator/>
      </w:r>
    </w:p>
  </w:endnote>
  <w:endnote w:type="continuationSeparator" w:id="0">
    <w:p w14:paraId="29DD2F92" w14:textId="77777777" w:rsidR="00777D9E" w:rsidRDefault="00777D9E" w:rsidP="0001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9A52" w14:textId="77777777" w:rsidR="00777D9E" w:rsidRDefault="00777D9E" w:rsidP="00013F00">
      <w:r>
        <w:separator/>
      </w:r>
    </w:p>
  </w:footnote>
  <w:footnote w:type="continuationSeparator" w:id="0">
    <w:p w14:paraId="01D5E732" w14:textId="77777777" w:rsidR="00777D9E" w:rsidRDefault="00777D9E" w:rsidP="00013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65BF" w14:textId="77777777" w:rsidR="00013F00" w:rsidRDefault="00013F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E77586"/>
    <w:multiLevelType w:val="multilevel"/>
    <w:tmpl w:val="B8F2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F23BC"/>
    <w:multiLevelType w:val="multilevel"/>
    <w:tmpl w:val="288ABE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534E0"/>
    <w:multiLevelType w:val="multilevel"/>
    <w:tmpl w:val="69E619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64DAD"/>
    <w:multiLevelType w:val="multilevel"/>
    <w:tmpl w:val="3A38D70C"/>
    <w:lvl w:ilvl="0">
      <w:start w:val="2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14A13"/>
    <w:multiLevelType w:val="multilevel"/>
    <w:tmpl w:val="DFA4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86D98"/>
    <w:multiLevelType w:val="multilevel"/>
    <w:tmpl w:val="4684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62019"/>
    <w:multiLevelType w:val="multilevel"/>
    <w:tmpl w:val="937ECAF8"/>
    <w:lvl w:ilvl="0">
      <w:start w:val="1"/>
      <w:numFmt w:val="decimal"/>
      <w:lvlText w:val="%1."/>
      <w:lvlJc w:val="left"/>
      <w:pPr>
        <w:ind w:left="1505" w:hanging="360"/>
      </w:pPr>
      <w:rPr>
        <w:rFonts w:hint="default"/>
      </w:rPr>
    </w:lvl>
    <w:lvl w:ilvl="1">
      <w:start w:val="1"/>
      <w:numFmt w:val="decimal"/>
      <w:isLgl/>
      <w:lvlText w:val="%1.%2."/>
      <w:lvlJc w:val="left"/>
      <w:pPr>
        <w:ind w:left="150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8" w15:restartNumberingAfterBreak="0">
    <w:nsid w:val="126F7173"/>
    <w:multiLevelType w:val="multilevel"/>
    <w:tmpl w:val="5642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24368A"/>
    <w:multiLevelType w:val="multilevel"/>
    <w:tmpl w:val="72FA6076"/>
    <w:lvl w:ilvl="0">
      <w:start w:val="2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D6EF8"/>
    <w:multiLevelType w:val="multilevel"/>
    <w:tmpl w:val="C79A15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D344F5"/>
    <w:multiLevelType w:val="multilevel"/>
    <w:tmpl w:val="0D20E602"/>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9535E"/>
    <w:multiLevelType w:val="hybridMultilevel"/>
    <w:tmpl w:val="AA7A8076"/>
    <w:lvl w:ilvl="0" w:tplc="95D20B40">
      <w:start w:val="3"/>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9E7A86"/>
    <w:multiLevelType w:val="multilevel"/>
    <w:tmpl w:val="2F681F2C"/>
    <w:lvl w:ilvl="0">
      <w:start w:val="2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2A350C"/>
    <w:multiLevelType w:val="multilevel"/>
    <w:tmpl w:val="7CD8E5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E65CC8"/>
    <w:multiLevelType w:val="multilevel"/>
    <w:tmpl w:val="63D07F98"/>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46164"/>
    <w:multiLevelType w:val="multilevel"/>
    <w:tmpl w:val="137CD6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04FDD"/>
    <w:multiLevelType w:val="multilevel"/>
    <w:tmpl w:val="AA5E7534"/>
    <w:lvl w:ilvl="0">
      <w:start w:val="3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904166"/>
    <w:multiLevelType w:val="multilevel"/>
    <w:tmpl w:val="48BA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BB24A1"/>
    <w:multiLevelType w:val="multilevel"/>
    <w:tmpl w:val="8E46B47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4413A8"/>
    <w:multiLevelType w:val="multilevel"/>
    <w:tmpl w:val="358CBAC0"/>
    <w:lvl w:ilvl="0">
      <w:start w:val="2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120D9C"/>
    <w:multiLevelType w:val="multilevel"/>
    <w:tmpl w:val="841CA1AA"/>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411BD"/>
    <w:multiLevelType w:val="multilevel"/>
    <w:tmpl w:val="55B67C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C85961"/>
    <w:multiLevelType w:val="hybridMultilevel"/>
    <w:tmpl w:val="E2D4A066"/>
    <w:lvl w:ilvl="0" w:tplc="FFFFFFFF">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C0F3EF5"/>
    <w:multiLevelType w:val="multilevel"/>
    <w:tmpl w:val="B55AAD20"/>
    <w:lvl w:ilvl="0">
      <w:start w:val="2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3D3142"/>
    <w:multiLevelType w:val="multilevel"/>
    <w:tmpl w:val="EF5882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1E1EC6"/>
    <w:multiLevelType w:val="multilevel"/>
    <w:tmpl w:val="E71CCA80"/>
    <w:lvl w:ilvl="0">
      <w:start w:val="2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244D88"/>
    <w:multiLevelType w:val="multilevel"/>
    <w:tmpl w:val="59E8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114021"/>
    <w:multiLevelType w:val="multilevel"/>
    <w:tmpl w:val="B2E233D4"/>
    <w:lvl w:ilvl="0">
      <w:start w:val="3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050F89"/>
    <w:multiLevelType w:val="multilevel"/>
    <w:tmpl w:val="777C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6B2A21"/>
    <w:multiLevelType w:val="hybridMultilevel"/>
    <w:tmpl w:val="E2D4A066"/>
    <w:lvl w:ilvl="0" w:tplc="0666F992">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1BA4D98">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8DCFC48">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168E5C4">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8081BA0">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998D726">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5D883AE">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38A0744">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4921B3C">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ABE1157"/>
    <w:multiLevelType w:val="multilevel"/>
    <w:tmpl w:val="BD50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1011B0"/>
    <w:multiLevelType w:val="multilevel"/>
    <w:tmpl w:val="5DDAD38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607874"/>
    <w:multiLevelType w:val="multilevel"/>
    <w:tmpl w:val="75B87916"/>
    <w:lvl w:ilvl="0">
      <w:start w:val="1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35" w15:restartNumberingAfterBreak="0">
    <w:nsid w:val="57187A25"/>
    <w:multiLevelType w:val="multilevel"/>
    <w:tmpl w:val="61849B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F0580E"/>
    <w:multiLevelType w:val="multilevel"/>
    <w:tmpl w:val="90EC5472"/>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9840B4"/>
    <w:multiLevelType w:val="multilevel"/>
    <w:tmpl w:val="D2EE7E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BBA3662"/>
    <w:multiLevelType w:val="multilevel"/>
    <w:tmpl w:val="3D704E26"/>
    <w:lvl w:ilvl="0">
      <w:start w:val="1"/>
      <w:numFmt w:val="upperRoman"/>
      <w:lvlText w:val="%1."/>
      <w:lvlJc w:val="left"/>
      <w:pPr>
        <w:tabs>
          <w:tab w:val="num" w:pos="0"/>
        </w:tabs>
        <w:ind w:left="1146" w:hanging="72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9" w15:restartNumberingAfterBreak="0">
    <w:nsid w:val="5DA84CC4"/>
    <w:multiLevelType w:val="multilevel"/>
    <w:tmpl w:val="791CBAD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D83D19"/>
    <w:multiLevelType w:val="multilevel"/>
    <w:tmpl w:val="56E6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FE063C"/>
    <w:multiLevelType w:val="multilevel"/>
    <w:tmpl w:val="87FAF7BA"/>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6468EA"/>
    <w:multiLevelType w:val="multilevel"/>
    <w:tmpl w:val="401607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206E1B"/>
    <w:multiLevelType w:val="multilevel"/>
    <w:tmpl w:val="A1A274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B31350"/>
    <w:multiLevelType w:val="multilevel"/>
    <w:tmpl w:val="5218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81468E"/>
    <w:multiLevelType w:val="multilevel"/>
    <w:tmpl w:val="0C880AC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ED1B39"/>
    <w:multiLevelType w:val="multilevel"/>
    <w:tmpl w:val="3942FD8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3A6A08"/>
    <w:multiLevelType w:val="multilevel"/>
    <w:tmpl w:val="9F46EC8C"/>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5A20BC"/>
    <w:multiLevelType w:val="multilevel"/>
    <w:tmpl w:val="F13A037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7D45AC"/>
    <w:multiLevelType w:val="multilevel"/>
    <w:tmpl w:val="39D066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9318421">
    <w:abstractNumId w:val="34"/>
  </w:num>
  <w:num w:numId="2" w16cid:durableId="1636718672">
    <w:abstractNumId w:val="38"/>
  </w:num>
  <w:num w:numId="3" w16cid:durableId="1631787512">
    <w:abstractNumId w:val="0"/>
  </w:num>
  <w:num w:numId="4" w16cid:durableId="1906797572">
    <w:abstractNumId w:val="7"/>
  </w:num>
  <w:num w:numId="5" w16cid:durableId="250624682">
    <w:abstractNumId w:val="1"/>
  </w:num>
  <w:num w:numId="6" w16cid:durableId="175193269">
    <w:abstractNumId w:val="6"/>
  </w:num>
  <w:num w:numId="7" w16cid:durableId="1195582688">
    <w:abstractNumId w:val="5"/>
  </w:num>
  <w:num w:numId="8" w16cid:durableId="1817723980">
    <w:abstractNumId w:val="8"/>
  </w:num>
  <w:num w:numId="9" w16cid:durableId="1101603661">
    <w:abstractNumId w:val="37"/>
  </w:num>
  <w:num w:numId="10" w16cid:durableId="1096755988">
    <w:abstractNumId w:val="40"/>
  </w:num>
  <w:num w:numId="11" w16cid:durableId="288440231">
    <w:abstractNumId w:val="18"/>
  </w:num>
  <w:num w:numId="12" w16cid:durableId="1054084719">
    <w:abstractNumId w:val="27"/>
  </w:num>
  <w:num w:numId="13" w16cid:durableId="649595583">
    <w:abstractNumId w:val="44"/>
  </w:num>
  <w:num w:numId="14" w16cid:durableId="1401292547">
    <w:abstractNumId w:val="31"/>
  </w:num>
  <w:num w:numId="15" w16cid:durableId="56898325">
    <w:abstractNumId w:val="29"/>
  </w:num>
  <w:num w:numId="16" w16cid:durableId="1732118159">
    <w:abstractNumId w:val="45"/>
  </w:num>
  <w:num w:numId="17" w16cid:durableId="186992875">
    <w:abstractNumId w:val="19"/>
  </w:num>
  <w:num w:numId="18" w16cid:durableId="286082489">
    <w:abstractNumId w:val="47"/>
  </w:num>
  <w:num w:numId="19" w16cid:durableId="1118111001">
    <w:abstractNumId w:val="21"/>
  </w:num>
  <w:num w:numId="20" w16cid:durableId="1435636037">
    <w:abstractNumId w:val="11"/>
  </w:num>
  <w:num w:numId="21" w16cid:durableId="1349603924">
    <w:abstractNumId w:val="15"/>
  </w:num>
  <w:num w:numId="22" w16cid:durableId="2132361183">
    <w:abstractNumId w:val="41"/>
  </w:num>
  <w:num w:numId="23" w16cid:durableId="1522864272">
    <w:abstractNumId w:val="46"/>
  </w:num>
  <w:num w:numId="24" w16cid:durableId="371854848">
    <w:abstractNumId w:val="36"/>
  </w:num>
  <w:num w:numId="25" w16cid:durableId="514421557">
    <w:abstractNumId w:val="49"/>
  </w:num>
  <w:num w:numId="26" w16cid:durableId="513105885">
    <w:abstractNumId w:val="42"/>
  </w:num>
  <w:num w:numId="27" w16cid:durableId="1283880610">
    <w:abstractNumId w:val="35"/>
  </w:num>
  <w:num w:numId="28" w16cid:durableId="1981105040">
    <w:abstractNumId w:val="3"/>
  </w:num>
  <w:num w:numId="29" w16cid:durableId="1547140501">
    <w:abstractNumId w:val="43"/>
  </w:num>
  <w:num w:numId="30" w16cid:durableId="471334974">
    <w:abstractNumId w:val="22"/>
  </w:num>
  <w:num w:numId="31" w16cid:durableId="832842409">
    <w:abstractNumId w:val="2"/>
  </w:num>
  <w:num w:numId="32" w16cid:durableId="736825496">
    <w:abstractNumId w:val="10"/>
  </w:num>
  <w:num w:numId="33" w16cid:durableId="1953786354">
    <w:abstractNumId w:val="14"/>
  </w:num>
  <w:num w:numId="34" w16cid:durableId="1306273308">
    <w:abstractNumId w:val="33"/>
  </w:num>
  <w:num w:numId="35" w16cid:durableId="1454906105">
    <w:abstractNumId w:val="9"/>
  </w:num>
  <w:num w:numId="36" w16cid:durableId="189027773">
    <w:abstractNumId w:val="4"/>
  </w:num>
  <w:num w:numId="37" w16cid:durableId="1347827935">
    <w:abstractNumId w:val="32"/>
  </w:num>
  <w:num w:numId="38" w16cid:durableId="1909681341">
    <w:abstractNumId w:val="25"/>
  </w:num>
  <w:num w:numId="39" w16cid:durableId="1146360926">
    <w:abstractNumId w:val="13"/>
  </w:num>
  <w:num w:numId="40" w16cid:durableId="895313129">
    <w:abstractNumId w:val="24"/>
  </w:num>
  <w:num w:numId="41" w16cid:durableId="1009984748">
    <w:abstractNumId w:val="26"/>
  </w:num>
  <w:num w:numId="42" w16cid:durableId="1235824438">
    <w:abstractNumId w:val="20"/>
  </w:num>
  <w:num w:numId="43" w16cid:durableId="1448964861">
    <w:abstractNumId w:val="39"/>
  </w:num>
  <w:num w:numId="44" w16cid:durableId="925116582">
    <w:abstractNumId w:val="48"/>
  </w:num>
  <w:num w:numId="45" w16cid:durableId="1101686381">
    <w:abstractNumId w:val="16"/>
  </w:num>
  <w:num w:numId="46" w16cid:durableId="440148352">
    <w:abstractNumId w:val="17"/>
  </w:num>
  <w:num w:numId="47" w16cid:durableId="1344629968">
    <w:abstractNumId w:val="28"/>
  </w:num>
  <w:num w:numId="48" w16cid:durableId="922690250">
    <w:abstractNumId w:val="30"/>
  </w:num>
  <w:num w:numId="49" w16cid:durableId="948008213">
    <w:abstractNumId w:val="23"/>
  </w:num>
  <w:num w:numId="50" w16cid:durableId="63063598">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4F"/>
    <w:rsid w:val="00003ED4"/>
    <w:rsid w:val="00013F00"/>
    <w:rsid w:val="000402DD"/>
    <w:rsid w:val="000426DF"/>
    <w:rsid w:val="00042F37"/>
    <w:rsid w:val="000601B5"/>
    <w:rsid w:val="00060E4B"/>
    <w:rsid w:val="000618B8"/>
    <w:rsid w:val="00077B43"/>
    <w:rsid w:val="00093EDD"/>
    <w:rsid w:val="000B0AEA"/>
    <w:rsid w:val="000B3700"/>
    <w:rsid w:val="00106299"/>
    <w:rsid w:val="00113B57"/>
    <w:rsid w:val="00117B26"/>
    <w:rsid w:val="001254A3"/>
    <w:rsid w:val="00140021"/>
    <w:rsid w:val="001412F6"/>
    <w:rsid w:val="001478EA"/>
    <w:rsid w:val="00151747"/>
    <w:rsid w:val="00151A52"/>
    <w:rsid w:val="00154A6A"/>
    <w:rsid w:val="00181C02"/>
    <w:rsid w:val="00186C03"/>
    <w:rsid w:val="001A116C"/>
    <w:rsid w:val="001A7B25"/>
    <w:rsid w:val="001C3D9E"/>
    <w:rsid w:val="002021CC"/>
    <w:rsid w:val="00203676"/>
    <w:rsid w:val="002074EE"/>
    <w:rsid w:val="00210012"/>
    <w:rsid w:val="00221C22"/>
    <w:rsid w:val="002238EB"/>
    <w:rsid w:val="00223DF4"/>
    <w:rsid w:val="002259BE"/>
    <w:rsid w:val="0024762F"/>
    <w:rsid w:val="00255DEA"/>
    <w:rsid w:val="00265E61"/>
    <w:rsid w:val="002768FE"/>
    <w:rsid w:val="00280D39"/>
    <w:rsid w:val="00287581"/>
    <w:rsid w:val="0029298C"/>
    <w:rsid w:val="00293F84"/>
    <w:rsid w:val="00294F10"/>
    <w:rsid w:val="002F2EE3"/>
    <w:rsid w:val="0030331D"/>
    <w:rsid w:val="00306761"/>
    <w:rsid w:val="00315308"/>
    <w:rsid w:val="00324643"/>
    <w:rsid w:val="00330161"/>
    <w:rsid w:val="00334658"/>
    <w:rsid w:val="00344894"/>
    <w:rsid w:val="00345D01"/>
    <w:rsid w:val="003472CA"/>
    <w:rsid w:val="003718DD"/>
    <w:rsid w:val="003737C4"/>
    <w:rsid w:val="003974DE"/>
    <w:rsid w:val="003A1C0D"/>
    <w:rsid w:val="003A77DB"/>
    <w:rsid w:val="003B3AC9"/>
    <w:rsid w:val="003B5CCC"/>
    <w:rsid w:val="003D1CFD"/>
    <w:rsid w:val="003E6284"/>
    <w:rsid w:val="004002A3"/>
    <w:rsid w:val="0040096F"/>
    <w:rsid w:val="00405A7B"/>
    <w:rsid w:val="00430AAD"/>
    <w:rsid w:val="0043688C"/>
    <w:rsid w:val="00447765"/>
    <w:rsid w:val="00451031"/>
    <w:rsid w:val="00451E3D"/>
    <w:rsid w:val="004715E7"/>
    <w:rsid w:val="00483505"/>
    <w:rsid w:val="00487230"/>
    <w:rsid w:val="00490F3A"/>
    <w:rsid w:val="004945C8"/>
    <w:rsid w:val="004A06A4"/>
    <w:rsid w:val="004B026F"/>
    <w:rsid w:val="004B6166"/>
    <w:rsid w:val="004D3379"/>
    <w:rsid w:val="004D6609"/>
    <w:rsid w:val="00517C06"/>
    <w:rsid w:val="0052343C"/>
    <w:rsid w:val="00530889"/>
    <w:rsid w:val="005328AA"/>
    <w:rsid w:val="005375DA"/>
    <w:rsid w:val="00543E0E"/>
    <w:rsid w:val="005511EC"/>
    <w:rsid w:val="005561C1"/>
    <w:rsid w:val="00564EA0"/>
    <w:rsid w:val="00576AD1"/>
    <w:rsid w:val="0059506A"/>
    <w:rsid w:val="005A0A3D"/>
    <w:rsid w:val="005C4382"/>
    <w:rsid w:val="005D083C"/>
    <w:rsid w:val="005D55DB"/>
    <w:rsid w:val="005E4FE2"/>
    <w:rsid w:val="00613118"/>
    <w:rsid w:val="00615C96"/>
    <w:rsid w:val="00626A72"/>
    <w:rsid w:val="00654C3E"/>
    <w:rsid w:val="006557A7"/>
    <w:rsid w:val="00667177"/>
    <w:rsid w:val="00697221"/>
    <w:rsid w:val="006A5A3B"/>
    <w:rsid w:val="006B5873"/>
    <w:rsid w:val="006D60C4"/>
    <w:rsid w:val="006D726A"/>
    <w:rsid w:val="006E600D"/>
    <w:rsid w:val="006E7367"/>
    <w:rsid w:val="006F0D6B"/>
    <w:rsid w:val="00700156"/>
    <w:rsid w:val="00700A0D"/>
    <w:rsid w:val="00722BDD"/>
    <w:rsid w:val="007273B4"/>
    <w:rsid w:val="00740793"/>
    <w:rsid w:val="007409A3"/>
    <w:rsid w:val="00747332"/>
    <w:rsid w:val="00755421"/>
    <w:rsid w:val="00760E8F"/>
    <w:rsid w:val="00764B17"/>
    <w:rsid w:val="00772D7C"/>
    <w:rsid w:val="007747B4"/>
    <w:rsid w:val="00777D9E"/>
    <w:rsid w:val="007804AD"/>
    <w:rsid w:val="0078425D"/>
    <w:rsid w:val="007A0883"/>
    <w:rsid w:val="007A43BC"/>
    <w:rsid w:val="007B4112"/>
    <w:rsid w:val="007C56CF"/>
    <w:rsid w:val="007E3302"/>
    <w:rsid w:val="00803DA3"/>
    <w:rsid w:val="00807BCF"/>
    <w:rsid w:val="00811C36"/>
    <w:rsid w:val="0082624F"/>
    <w:rsid w:val="00842AE2"/>
    <w:rsid w:val="008504C6"/>
    <w:rsid w:val="0086685D"/>
    <w:rsid w:val="008763E8"/>
    <w:rsid w:val="00880813"/>
    <w:rsid w:val="00885042"/>
    <w:rsid w:val="008859B8"/>
    <w:rsid w:val="008A05AD"/>
    <w:rsid w:val="008B53F7"/>
    <w:rsid w:val="008C45DD"/>
    <w:rsid w:val="008C50E2"/>
    <w:rsid w:val="008D34D7"/>
    <w:rsid w:val="008E7574"/>
    <w:rsid w:val="008F5872"/>
    <w:rsid w:val="008F6514"/>
    <w:rsid w:val="0090566A"/>
    <w:rsid w:val="00913CFB"/>
    <w:rsid w:val="009166EE"/>
    <w:rsid w:val="0091691B"/>
    <w:rsid w:val="009264F4"/>
    <w:rsid w:val="00932384"/>
    <w:rsid w:val="00937C57"/>
    <w:rsid w:val="00943FAD"/>
    <w:rsid w:val="00945868"/>
    <w:rsid w:val="009555BA"/>
    <w:rsid w:val="009712D3"/>
    <w:rsid w:val="009750A2"/>
    <w:rsid w:val="009755CA"/>
    <w:rsid w:val="009843FA"/>
    <w:rsid w:val="0098547A"/>
    <w:rsid w:val="00986382"/>
    <w:rsid w:val="00992543"/>
    <w:rsid w:val="009A7EAF"/>
    <w:rsid w:val="009D2021"/>
    <w:rsid w:val="009D29CA"/>
    <w:rsid w:val="009D4E52"/>
    <w:rsid w:val="009D5D11"/>
    <w:rsid w:val="009E32C7"/>
    <w:rsid w:val="009F018C"/>
    <w:rsid w:val="009F62EB"/>
    <w:rsid w:val="00A00803"/>
    <w:rsid w:val="00A01EEC"/>
    <w:rsid w:val="00A04D70"/>
    <w:rsid w:val="00A15D36"/>
    <w:rsid w:val="00A22E3E"/>
    <w:rsid w:val="00A24027"/>
    <w:rsid w:val="00A27B76"/>
    <w:rsid w:val="00A5587D"/>
    <w:rsid w:val="00A62E2B"/>
    <w:rsid w:val="00A8519F"/>
    <w:rsid w:val="00AB7A24"/>
    <w:rsid w:val="00AC6E8D"/>
    <w:rsid w:val="00AD1E44"/>
    <w:rsid w:val="00AE04DC"/>
    <w:rsid w:val="00B05B4F"/>
    <w:rsid w:val="00B12409"/>
    <w:rsid w:val="00B35FAC"/>
    <w:rsid w:val="00B66762"/>
    <w:rsid w:val="00B810D2"/>
    <w:rsid w:val="00B820C3"/>
    <w:rsid w:val="00B82DD7"/>
    <w:rsid w:val="00B97153"/>
    <w:rsid w:val="00BA56D5"/>
    <w:rsid w:val="00BB53FC"/>
    <w:rsid w:val="00BC044F"/>
    <w:rsid w:val="00BD2B8E"/>
    <w:rsid w:val="00C05BFF"/>
    <w:rsid w:val="00C1328C"/>
    <w:rsid w:val="00C16421"/>
    <w:rsid w:val="00C22364"/>
    <w:rsid w:val="00C508E7"/>
    <w:rsid w:val="00C91D27"/>
    <w:rsid w:val="00CC48F0"/>
    <w:rsid w:val="00CE5EE8"/>
    <w:rsid w:val="00CF2F62"/>
    <w:rsid w:val="00CF7EF5"/>
    <w:rsid w:val="00D01087"/>
    <w:rsid w:val="00D023EC"/>
    <w:rsid w:val="00D05A65"/>
    <w:rsid w:val="00D16876"/>
    <w:rsid w:val="00D216E4"/>
    <w:rsid w:val="00D22B8B"/>
    <w:rsid w:val="00D2619E"/>
    <w:rsid w:val="00D45C3C"/>
    <w:rsid w:val="00D46E3E"/>
    <w:rsid w:val="00D57435"/>
    <w:rsid w:val="00D73CCD"/>
    <w:rsid w:val="00D9045F"/>
    <w:rsid w:val="00D96BE6"/>
    <w:rsid w:val="00DA13D4"/>
    <w:rsid w:val="00DB1175"/>
    <w:rsid w:val="00DB5858"/>
    <w:rsid w:val="00DD3DF5"/>
    <w:rsid w:val="00DD5F9E"/>
    <w:rsid w:val="00E02888"/>
    <w:rsid w:val="00E0774E"/>
    <w:rsid w:val="00E521BA"/>
    <w:rsid w:val="00E856EF"/>
    <w:rsid w:val="00E9345E"/>
    <w:rsid w:val="00E96099"/>
    <w:rsid w:val="00EB2553"/>
    <w:rsid w:val="00EB2ABF"/>
    <w:rsid w:val="00EC3D9C"/>
    <w:rsid w:val="00F13C36"/>
    <w:rsid w:val="00F16F46"/>
    <w:rsid w:val="00F1775C"/>
    <w:rsid w:val="00F25FC2"/>
    <w:rsid w:val="00F33D70"/>
    <w:rsid w:val="00F67CA9"/>
    <w:rsid w:val="00F77969"/>
    <w:rsid w:val="00F973E6"/>
    <w:rsid w:val="00FB09F2"/>
    <w:rsid w:val="00FE0CFF"/>
    <w:rsid w:val="00FE266D"/>
    <w:rsid w:val="00FE3D98"/>
    <w:rsid w:val="00FE4E88"/>
    <w:rsid w:val="00FF0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01E05"/>
  <w15:chartTrackingRefBased/>
  <w15:docId w15:val="{23D7BE23-F139-454B-97F8-BCB068F4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44F"/>
    <w:pPr>
      <w:suppressAutoHyphens/>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BC0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C0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C044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C044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C044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C044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044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044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044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044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044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044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044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044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04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04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04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04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044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04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04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04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04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044F"/>
    <w:rPr>
      <w:i/>
      <w:iCs/>
      <w:color w:val="404040" w:themeColor="text1" w:themeTint="BF"/>
    </w:rPr>
  </w:style>
  <w:style w:type="paragraph" w:styleId="Sraopastraipa">
    <w:name w:val="List Paragraph"/>
    <w:aliases w:val="Bullet 1,Use Case List Paragraph,Sąrašo pastraipa1,List Paragraph3,Lentele,List Paragraph22,List Paragraph221,Buletai,List Paragraph111,Medium Grid 1 - Accent 21,Sąrašo pastraipa.Bullet,punktai"/>
    <w:basedOn w:val="prastasis"/>
    <w:link w:val="SraopastraipaDiagrama"/>
    <w:uiPriority w:val="34"/>
    <w:qFormat/>
    <w:rsid w:val="00BC044F"/>
    <w:pPr>
      <w:ind w:left="720"/>
      <w:contextualSpacing/>
    </w:pPr>
  </w:style>
  <w:style w:type="character" w:styleId="Rykuspabraukimas">
    <w:name w:val="Intense Emphasis"/>
    <w:basedOn w:val="Numatytasispastraiposriftas"/>
    <w:uiPriority w:val="21"/>
    <w:qFormat/>
    <w:rsid w:val="00BC044F"/>
    <w:rPr>
      <w:i/>
      <w:iCs/>
      <w:color w:val="2F5496" w:themeColor="accent1" w:themeShade="BF"/>
    </w:rPr>
  </w:style>
  <w:style w:type="paragraph" w:styleId="Iskirtacitata">
    <w:name w:val="Intense Quote"/>
    <w:basedOn w:val="prastasis"/>
    <w:next w:val="prastasis"/>
    <w:link w:val="IskirtacitataDiagrama"/>
    <w:uiPriority w:val="30"/>
    <w:qFormat/>
    <w:rsid w:val="00BC0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C044F"/>
    <w:rPr>
      <w:i/>
      <w:iCs/>
      <w:color w:val="2F5496" w:themeColor="accent1" w:themeShade="BF"/>
    </w:rPr>
  </w:style>
  <w:style w:type="character" w:styleId="Rykinuoroda">
    <w:name w:val="Intense Reference"/>
    <w:basedOn w:val="Numatytasispastraiposriftas"/>
    <w:uiPriority w:val="32"/>
    <w:qFormat/>
    <w:rsid w:val="00BC044F"/>
    <w:rPr>
      <w:b/>
      <w:bCs/>
      <w:smallCaps/>
      <w:color w:val="2F5496" w:themeColor="accent1" w:themeShade="BF"/>
      <w:spacing w:val="5"/>
    </w:rPr>
  </w:style>
  <w:style w:type="character" w:customStyle="1" w:styleId="SraopastraipaDiagrama">
    <w:name w:val="Sąrašo pastraipa Diagrama"/>
    <w:aliases w:val="Bullet 1 Diagrama,Use Case List Paragraph Diagrama,Sąrašo pastraipa1 Diagrama,List Paragraph3 Diagrama,Lentele Diagrama,List Paragraph22 Diagrama,List Paragraph221 Diagrama,Buletai Diagrama,List Paragraph111 Diagrama"/>
    <w:link w:val="Sraopastraipa"/>
    <w:uiPriority w:val="34"/>
    <w:qFormat/>
    <w:locked/>
    <w:rsid w:val="00BC044F"/>
  </w:style>
  <w:style w:type="character" w:customStyle="1" w:styleId="PagrindinistekstasDiagrama">
    <w:name w:val="Pagrindinis tekstas Diagrama"/>
    <w:basedOn w:val="Numatytasispastraiposriftas"/>
    <w:link w:val="Pagrindinistekstas"/>
    <w:qFormat/>
    <w:rsid w:val="00BC044F"/>
    <w:rPr>
      <w:rFonts w:ascii="Times New Roman" w:eastAsia="Times New Roman" w:hAnsi="Times New Roman" w:cs="Times New Roman"/>
    </w:rPr>
  </w:style>
  <w:style w:type="paragraph" w:styleId="Pagrindinistekstas">
    <w:name w:val="Body Text"/>
    <w:basedOn w:val="prastasis"/>
    <w:link w:val="PagrindinistekstasDiagrama"/>
    <w:rsid w:val="00BC044F"/>
    <w:pPr>
      <w:spacing w:line="360" w:lineRule="auto"/>
      <w:jc w:val="both"/>
    </w:pPr>
    <w:rPr>
      <w:kern w:val="2"/>
      <w:sz w:val="22"/>
      <w:szCs w:val="22"/>
      <w:lang w:val="en-GB"/>
      <w14:ligatures w14:val="standardContextual"/>
    </w:rPr>
  </w:style>
  <w:style w:type="character" w:customStyle="1" w:styleId="BodyTextChar1">
    <w:name w:val="Body Text Char1"/>
    <w:basedOn w:val="Numatytasispastraiposriftas"/>
    <w:uiPriority w:val="99"/>
    <w:semiHidden/>
    <w:rsid w:val="00BC044F"/>
    <w:rPr>
      <w:rFonts w:ascii="Times New Roman" w:eastAsia="Times New Roman" w:hAnsi="Times New Roman" w:cs="Times New Roman"/>
      <w:kern w:val="0"/>
      <w:sz w:val="24"/>
      <w:szCs w:val="20"/>
      <w:lang w:val="lt-LT"/>
      <w14:ligatures w14:val="none"/>
    </w:rPr>
  </w:style>
  <w:style w:type="character" w:customStyle="1" w:styleId="PagrindinistekstasDiagrama1">
    <w:name w:val="Pagrindinis tekstas Diagrama1"/>
    <w:basedOn w:val="Numatytasispastraiposriftas"/>
    <w:uiPriority w:val="99"/>
    <w:semiHidden/>
    <w:rsid w:val="00BC044F"/>
    <w:rPr>
      <w:rFonts w:ascii="Times New Roman" w:eastAsia="Times New Roman" w:hAnsi="Times New Roman" w:cs="Times New Roman"/>
      <w:kern w:val="0"/>
      <w:szCs w:val="20"/>
      <w14:ligatures w14:val="none"/>
    </w:rPr>
  </w:style>
  <w:style w:type="paragraph" w:customStyle="1" w:styleId="Skyriauspavadinimas">
    <w:name w:val="Skyriaus pavadinimas"/>
    <w:basedOn w:val="prastasis"/>
    <w:qFormat/>
    <w:rsid w:val="00BC044F"/>
    <w:pPr>
      <w:numPr>
        <w:numId w:val="1"/>
      </w:numPr>
      <w:jc w:val="center"/>
    </w:pPr>
    <w:rPr>
      <w:rFonts w:ascii="Times New Roman Bold" w:hAnsi="Times New Roman Bold"/>
      <w:b/>
      <w:caps/>
      <w:szCs w:val="24"/>
      <w:lang w:val="en-GB"/>
    </w:rPr>
  </w:style>
  <w:style w:type="table" w:styleId="Lentelstinklelis">
    <w:name w:val="Table Grid"/>
    <w:basedOn w:val="prastojilentel"/>
    <w:uiPriority w:val="99"/>
    <w:rsid w:val="00BC044F"/>
    <w:pPr>
      <w:suppressAutoHyphens/>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basedOn w:val="Numatytasispastraiposriftas"/>
    <w:link w:val="ListParagraph1"/>
    <w:uiPriority w:val="34"/>
    <w:qFormat/>
    <w:locked/>
    <w:rsid w:val="00BC044F"/>
  </w:style>
  <w:style w:type="paragraph" w:customStyle="1" w:styleId="ListParagraph1">
    <w:name w:val="List Paragraph1"/>
    <w:aliases w:val="ERP-List Paragraph,List Paragraph11,Numbering,List Paragraph Red,Bullet EY,List Paragraph2,Bullet,TIIS - Bullet Style (Level 1),VKTI - text numbering,Normal bullet 2,Paragraph,List L1,List not in Table,List Paragraph21,lp1"/>
    <w:basedOn w:val="prastasis"/>
    <w:link w:val="ListParagraphChar"/>
    <w:uiPriority w:val="34"/>
    <w:rsid w:val="00BC044F"/>
    <w:pPr>
      <w:suppressAutoHyphens w:val="0"/>
      <w:ind w:left="720"/>
    </w:pPr>
    <w:rPr>
      <w:rFonts w:asciiTheme="minorHAnsi" w:eastAsiaTheme="minorHAnsi" w:hAnsiTheme="minorHAnsi" w:cstheme="minorBidi"/>
      <w:kern w:val="2"/>
      <w:sz w:val="22"/>
      <w:szCs w:val="22"/>
      <w:lang w:val="en-GB"/>
      <w14:ligatures w14:val="standardContextual"/>
    </w:rPr>
  </w:style>
  <w:style w:type="paragraph" w:styleId="Betarp">
    <w:name w:val="No Spacing"/>
    <w:link w:val="BetarpDiagrama"/>
    <w:uiPriority w:val="1"/>
    <w:qFormat/>
    <w:rsid w:val="00BC044F"/>
    <w:pPr>
      <w:spacing w:after="0" w:line="240" w:lineRule="auto"/>
      <w:jc w:val="both"/>
    </w:pPr>
    <w:rPr>
      <w:rFonts w:eastAsiaTheme="minorEastAsia"/>
      <w:kern w:val="0"/>
      <w:lang w:val="en-US"/>
      <w14:ligatures w14:val="none"/>
    </w:rPr>
  </w:style>
  <w:style w:type="character" w:styleId="Komentaronuoroda">
    <w:name w:val="annotation reference"/>
    <w:basedOn w:val="Numatytasispastraiposriftas"/>
    <w:unhideWhenUsed/>
    <w:rsid w:val="00BC044F"/>
    <w:rPr>
      <w:sz w:val="16"/>
    </w:rPr>
  </w:style>
  <w:style w:type="paragraph" w:styleId="Komentarotekstas">
    <w:name w:val="annotation text"/>
    <w:basedOn w:val="prastasis"/>
    <w:link w:val="KomentarotekstasDiagrama"/>
    <w:unhideWhenUsed/>
    <w:rsid w:val="00BC044F"/>
    <w:pPr>
      <w:suppressAutoHyphens w:val="0"/>
      <w:spacing w:after="160"/>
      <w:jc w:val="both"/>
    </w:pPr>
    <w:rPr>
      <w:rFonts w:asciiTheme="minorHAnsi" w:eastAsiaTheme="minorEastAsia" w:hAnsiTheme="minorHAnsi" w:cstheme="minorBidi"/>
      <w:sz w:val="22"/>
      <w:szCs w:val="22"/>
      <w:lang w:val="en-US"/>
    </w:rPr>
  </w:style>
  <w:style w:type="character" w:customStyle="1" w:styleId="KomentarotekstasDiagrama">
    <w:name w:val="Komentaro tekstas Diagrama"/>
    <w:basedOn w:val="Numatytasispastraiposriftas"/>
    <w:link w:val="Komentarotekstas"/>
    <w:rsid w:val="00BC044F"/>
    <w:rPr>
      <w:rFonts w:eastAsiaTheme="minorEastAsia"/>
      <w:kern w:val="0"/>
      <w:lang w:val="en-US"/>
      <w14:ligatures w14:val="none"/>
    </w:rPr>
  </w:style>
  <w:style w:type="character" w:customStyle="1" w:styleId="BetarpDiagrama">
    <w:name w:val="Be tarpų Diagrama"/>
    <w:basedOn w:val="Numatytasispastraiposriftas"/>
    <w:link w:val="Betarp"/>
    <w:uiPriority w:val="1"/>
    <w:rsid w:val="00BC044F"/>
    <w:rPr>
      <w:rFonts w:eastAsiaTheme="minorEastAsia"/>
      <w:kern w:val="0"/>
      <w:lang w:val="en-US"/>
      <w14:ligatures w14:val="none"/>
    </w:rPr>
  </w:style>
  <w:style w:type="paragraph" w:styleId="Komentarotema">
    <w:name w:val="annotation subject"/>
    <w:basedOn w:val="Komentarotekstas"/>
    <w:next w:val="Komentarotekstas"/>
    <w:link w:val="KomentarotemaDiagrama"/>
    <w:uiPriority w:val="99"/>
    <w:semiHidden/>
    <w:unhideWhenUsed/>
    <w:rsid w:val="00BC044F"/>
    <w:pPr>
      <w:suppressAutoHyphens/>
      <w:spacing w:after="0"/>
      <w:jc w:val="left"/>
    </w:pPr>
    <w:rPr>
      <w:rFonts w:ascii="Times New Roman" w:eastAsia="Times New Roman" w:hAnsi="Times New Roman" w:cs="Times New Roman"/>
      <w:b/>
      <w:bCs/>
      <w:sz w:val="20"/>
      <w:szCs w:val="20"/>
      <w:lang w:val="lt-LT"/>
    </w:rPr>
  </w:style>
  <w:style w:type="character" w:customStyle="1" w:styleId="KomentarotemaDiagrama">
    <w:name w:val="Komentaro tema Diagrama"/>
    <w:basedOn w:val="KomentarotekstasDiagrama"/>
    <w:link w:val="Komentarotema"/>
    <w:uiPriority w:val="99"/>
    <w:semiHidden/>
    <w:rsid w:val="00BC044F"/>
    <w:rPr>
      <w:rFonts w:ascii="Times New Roman" w:eastAsia="Times New Roman" w:hAnsi="Times New Roman" w:cs="Times New Roman"/>
      <w:b/>
      <w:bCs/>
      <w:kern w:val="0"/>
      <w:sz w:val="20"/>
      <w:szCs w:val="20"/>
      <w:lang w:val="lt-LT"/>
      <w14:ligatures w14:val="none"/>
    </w:rPr>
  </w:style>
  <w:style w:type="paragraph" w:styleId="Sraassuenkleliais">
    <w:name w:val="List Bullet"/>
    <w:basedOn w:val="prastasis"/>
    <w:uiPriority w:val="1"/>
    <w:unhideWhenUsed/>
    <w:rsid w:val="00BC044F"/>
    <w:pPr>
      <w:numPr>
        <w:numId w:val="3"/>
      </w:numPr>
      <w:suppressAutoHyphens w:val="0"/>
      <w:spacing w:after="40" w:line="252" w:lineRule="auto"/>
      <w:jc w:val="both"/>
    </w:pPr>
    <w:rPr>
      <w:rFonts w:asciiTheme="minorHAnsi" w:eastAsiaTheme="minorEastAsia" w:hAnsiTheme="minorHAnsi" w:cstheme="minorBidi"/>
      <w:sz w:val="22"/>
      <w:szCs w:val="22"/>
      <w:lang w:val="en-US"/>
    </w:rPr>
  </w:style>
  <w:style w:type="paragraph" w:styleId="Pataisymai">
    <w:name w:val="Revision"/>
    <w:hidden/>
    <w:uiPriority w:val="99"/>
    <w:semiHidden/>
    <w:rsid w:val="00BC044F"/>
    <w:pPr>
      <w:spacing w:after="0" w:line="240" w:lineRule="auto"/>
    </w:pPr>
    <w:rPr>
      <w:rFonts w:ascii="Times New Roman" w:eastAsia="Times New Roman" w:hAnsi="Times New Roman" w:cs="Times New Roman"/>
      <w:kern w:val="0"/>
      <w:sz w:val="24"/>
      <w:szCs w:val="20"/>
      <w:lang w:val="lt-LT"/>
      <w14:ligatures w14:val="none"/>
    </w:rPr>
  </w:style>
  <w:style w:type="table" w:customStyle="1" w:styleId="Lentelstinklelis1">
    <w:name w:val="Lentelės tinklelis1"/>
    <w:basedOn w:val="prastojilentel"/>
    <w:uiPriority w:val="99"/>
    <w:rsid w:val="00BC044F"/>
    <w:pPr>
      <w:suppressAutoHyphens/>
      <w:spacing w:after="0" w:line="240" w:lineRule="auto"/>
    </w:pPr>
    <w:rPr>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C04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044F"/>
    <w:rPr>
      <w:rFonts w:ascii="Segoe UI" w:eastAsia="Times New Roman" w:hAnsi="Segoe UI" w:cs="Segoe UI"/>
      <w:kern w:val="0"/>
      <w:sz w:val="18"/>
      <w:szCs w:val="18"/>
      <w:lang w:val="lt-LT"/>
      <w14:ligatures w14:val="none"/>
    </w:rPr>
  </w:style>
  <w:style w:type="paragraph" w:styleId="Antrats">
    <w:name w:val="header"/>
    <w:aliases w:val="En-tête-1,En-tête-2,hd,Header 2,Char,Char2,Char3,EY Header,Viršutinis kolontitulas Diagrama1,Viršutinis kolontitulas Diagrama Diagrama1,Char Diagrama Diagrama1,Viršutinis kolontitulas Diagrama Diagrama Diagrama,Char Diagrama Diagrama Diagrama"/>
    <w:basedOn w:val="prastasis"/>
    <w:link w:val="AntratsDiagrama"/>
    <w:qFormat/>
    <w:rsid w:val="00530889"/>
    <w:pPr>
      <w:tabs>
        <w:tab w:val="center" w:pos="4153"/>
        <w:tab w:val="right" w:pos="8306"/>
      </w:tabs>
      <w:suppressAutoHyphens w:val="0"/>
    </w:pPr>
  </w:style>
  <w:style w:type="character" w:customStyle="1" w:styleId="AntratsDiagrama">
    <w:name w:val="Antraštės Diagrama"/>
    <w:aliases w:val="En-tête-1 Diagrama,En-tête-2 Diagrama,hd Diagrama,Header 2 Diagrama,Char Diagrama,Char2 Diagrama,Char3 Diagrama,EY Header Diagrama,Viršutinis kolontitulas Diagrama1 Diagrama,Viršutinis kolontitulas Diagrama Diagrama1 Diagrama"/>
    <w:basedOn w:val="Numatytasispastraiposriftas"/>
    <w:link w:val="Antrats"/>
    <w:qFormat/>
    <w:rsid w:val="00530889"/>
    <w:rPr>
      <w:rFonts w:ascii="Times New Roman" w:eastAsia="Times New Roman" w:hAnsi="Times New Roman" w:cs="Times New Roman"/>
      <w:kern w:val="0"/>
      <w:sz w:val="24"/>
      <w:szCs w:val="20"/>
      <w:lang w:val="lt-LT"/>
      <w14:ligatures w14:val="none"/>
    </w:rPr>
  </w:style>
  <w:style w:type="table" w:customStyle="1" w:styleId="TableGrid">
    <w:name w:val="TableGrid"/>
    <w:rsid w:val="00A00803"/>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Porat">
    <w:name w:val="footer"/>
    <w:basedOn w:val="prastasis"/>
    <w:link w:val="PoratDiagrama"/>
    <w:uiPriority w:val="99"/>
    <w:unhideWhenUsed/>
    <w:rsid w:val="00013F00"/>
    <w:pPr>
      <w:tabs>
        <w:tab w:val="center" w:pos="4819"/>
        <w:tab w:val="right" w:pos="9638"/>
      </w:tabs>
    </w:pPr>
  </w:style>
  <w:style w:type="character" w:customStyle="1" w:styleId="PoratDiagrama">
    <w:name w:val="Poraštė Diagrama"/>
    <w:basedOn w:val="Numatytasispastraiposriftas"/>
    <w:link w:val="Porat"/>
    <w:uiPriority w:val="99"/>
    <w:rsid w:val="00013F00"/>
    <w:rPr>
      <w:rFonts w:ascii="Times New Roman" w:eastAsia="Times New Roman" w:hAnsi="Times New Roman" w:cs="Times New Roman"/>
      <w:kern w:val="0"/>
      <w:sz w:val="24"/>
      <w:szCs w:val="20"/>
      <w:lang w:val="lt-LT"/>
      <w14:ligatures w14:val="none"/>
    </w:rPr>
  </w:style>
  <w:style w:type="character" w:styleId="Hipersaitas">
    <w:name w:val="Hyperlink"/>
    <w:basedOn w:val="Numatytasispastraiposriftas"/>
    <w:uiPriority w:val="99"/>
    <w:unhideWhenUsed/>
    <w:rsid w:val="007C56CF"/>
    <w:rPr>
      <w:color w:val="0563C1" w:themeColor="hyperlink"/>
      <w:u w:val="single"/>
    </w:rPr>
  </w:style>
  <w:style w:type="character" w:styleId="Neapdorotaspaminjimas">
    <w:name w:val="Unresolved Mention"/>
    <w:basedOn w:val="Numatytasispastraiposriftas"/>
    <w:uiPriority w:val="99"/>
    <w:semiHidden/>
    <w:unhideWhenUsed/>
    <w:rsid w:val="007C5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4756">
      <w:bodyDiv w:val="1"/>
      <w:marLeft w:val="0"/>
      <w:marRight w:val="0"/>
      <w:marTop w:val="0"/>
      <w:marBottom w:val="0"/>
      <w:divBdr>
        <w:top w:val="none" w:sz="0" w:space="0" w:color="auto"/>
        <w:left w:val="none" w:sz="0" w:space="0" w:color="auto"/>
        <w:bottom w:val="none" w:sz="0" w:space="0" w:color="auto"/>
        <w:right w:val="none" w:sz="0" w:space="0" w:color="auto"/>
      </w:divBdr>
    </w:div>
    <w:div w:id="910776228">
      <w:bodyDiv w:val="1"/>
      <w:marLeft w:val="0"/>
      <w:marRight w:val="0"/>
      <w:marTop w:val="0"/>
      <w:marBottom w:val="0"/>
      <w:divBdr>
        <w:top w:val="none" w:sz="0" w:space="0" w:color="auto"/>
        <w:left w:val="none" w:sz="0" w:space="0" w:color="auto"/>
        <w:bottom w:val="none" w:sz="0" w:space="0" w:color="auto"/>
        <w:right w:val="none" w:sz="0" w:space="0" w:color="auto"/>
      </w:divBdr>
    </w:div>
    <w:div w:id="1021709651">
      <w:bodyDiv w:val="1"/>
      <w:marLeft w:val="0"/>
      <w:marRight w:val="0"/>
      <w:marTop w:val="0"/>
      <w:marBottom w:val="0"/>
      <w:divBdr>
        <w:top w:val="none" w:sz="0" w:space="0" w:color="auto"/>
        <w:left w:val="none" w:sz="0" w:space="0" w:color="auto"/>
        <w:bottom w:val="none" w:sz="0" w:space="0" w:color="auto"/>
        <w:right w:val="none" w:sz="0" w:space="0" w:color="auto"/>
      </w:divBdr>
    </w:div>
    <w:div w:id="10311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A2CF0-5256-4A38-A849-8D2C2870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6038</Words>
  <Characters>3442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Kaluževičius</dc:creator>
  <cp:lastModifiedBy>Živilė Šakalienė</cp:lastModifiedBy>
  <cp:revision>3</cp:revision>
  <dcterms:created xsi:type="dcterms:W3CDTF">2025-11-04T06:36:00Z</dcterms:created>
  <dcterms:modified xsi:type="dcterms:W3CDTF">2025-11-05T14:14:00Z</dcterms:modified>
</cp:coreProperties>
</file>