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892FC" w14:textId="77777777" w:rsidR="003B504B" w:rsidRPr="001039B9" w:rsidRDefault="00F10F79">
      <w:pPr>
        <w:pStyle w:val="Heading1"/>
        <w:spacing w:before="35"/>
        <w:ind w:left="0" w:right="278"/>
        <w:jc w:val="right"/>
        <w:rPr>
          <w:rFonts w:asciiTheme="majorBidi" w:hAnsiTheme="majorBidi" w:cstheme="majorBidi"/>
        </w:rPr>
      </w:pPr>
      <w:bookmarkStart w:id="0" w:name="_GoBack"/>
      <w:bookmarkEnd w:id="0"/>
      <w:r w:rsidRPr="001039B9">
        <w:rPr>
          <w:rFonts w:asciiTheme="majorBidi" w:hAnsiTheme="majorBidi" w:cstheme="majorBidi"/>
          <w:color w:val="006892"/>
          <w:u w:val="single" w:color="FFC425"/>
        </w:rPr>
        <w:t>Techninių duomenų lapas</w:t>
      </w:r>
    </w:p>
    <w:p w14:paraId="257B9C4C" w14:textId="77777777" w:rsidR="003B504B" w:rsidRDefault="003B504B">
      <w:pPr>
        <w:spacing w:before="7"/>
        <w:rPr>
          <w:rFonts w:ascii="Calibri" w:eastAsia="Calibri" w:hAnsi="Calibri" w:cs="Calibri"/>
          <w:sz w:val="26"/>
          <w:szCs w:val="26"/>
        </w:rPr>
      </w:pPr>
    </w:p>
    <w:p w14:paraId="1227E5C8" w14:textId="60596302" w:rsidR="003B504B" w:rsidRDefault="00ED6404">
      <w:pPr>
        <w:pStyle w:val="BodyText"/>
        <w:tabs>
          <w:tab w:val="left" w:pos="1323"/>
        </w:tabs>
        <w:spacing w:before="0" w:line="200" w:lineRule="atLeast"/>
        <w:ind w:left="150"/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26F805D5" wp14:editId="00052497">
                <wp:extent cx="579120" cy="381000"/>
                <wp:effectExtent l="0" t="0" r="1905" b="3175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2EF72" w14:textId="77777777" w:rsidR="003B504B" w:rsidRDefault="00F10F79">
                            <w:pPr>
                              <w:spacing w:line="600" w:lineRule="exact"/>
                              <w:rPr>
                                <w:rFonts w:ascii="Calibri" w:eastAsia="Calibri" w:hAnsi="Calibri" w:cs="Calibr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60"/>
                              </w:rPr>
                              <w:t>99S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F805D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5.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" filled="f" stroked="f">
                <v:textbox inset="0,0,0,0">
                  <w:txbxContent>
                    <w:p w14:paraId="73A2EF72" w14:textId="77777777" w:rsidR="003B504B" w:rsidRDefault="00F10F79">
                      <w:pPr>
                        <w:spacing w:line="600" w:lineRule="exact"/>
                        <w:rPr>
                          <w:rFonts w:ascii="Calibri" w:eastAsia="Calibri" w:hAnsi="Calibri" w:cs="Calibri"/>
                          <w:sz w:val="60"/>
                          <w:szCs w:val="60"/>
                        </w:rPr>
                      </w:pPr>
                      <w:r>
                        <w:rPr>
                          <w:rFonts w:ascii="Calibri"/>
                          <w:color w:val="FFFFFF"/>
                          <w:sz w:val="60"/>
                        </w:rPr>
                        <w:t>99S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10F79">
        <w:tab/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09F62E37" wp14:editId="20C32B80">
                <wp:extent cx="5888990" cy="539750"/>
                <wp:effectExtent l="1905" t="0" r="0" b="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44E15" w14:textId="16FBD33D" w:rsidR="003B504B" w:rsidRPr="00F10F79" w:rsidRDefault="00F10F79" w:rsidP="00F10F79">
                            <w:pPr>
                              <w:spacing w:line="252" w:lineRule="exact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</w:rPr>
                            </w:pPr>
                            <w:r w:rsidRPr="00FE32E7"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4"/>
                              </w:rPr>
                              <w:t xml:space="preserve">Baktericidinio, fungicidinio, virucidinio ir sporicidinio poveikio dezinfekcijos priemonė </w:t>
                            </w:r>
                            <w:r w:rsidRPr="00F10F79">
                              <w:rPr>
                                <w:rFonts w:asciiTheme="majorBidi" w:hAnsiTheme="majorBidi" w:cstheme="majorBidi"/>
                                <w:color w:val="FFFFFF"/>
                                <w:sz w:val="24"/>
                              </w:rPr>
                              <w:t>neinvazinių medicinos prietaisų nukenksminimui ir dezinfekavimui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F62E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width:463.7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" filled="f" stroked="f">
                <v:textbox inset="0,0,0,0">
                  <w:txbxContent>
                    <w:p w14:paraId="2AF44E15" w14:textId="16FBD33D" w:rsidR="003B504B" w:rsidRPr="00F10F79" w:rsidRDefault="00F10F79" w:rsidP="00F10F79">
                      <w:pPr>
                        <w:spacing w:line="252" w:lineRule="exact"/>
                        <w:rPr>
                          <w:rFonts w:asciiTheme="majorBidi" w:eastAsia="Calibri" w:hAnsiTheme="majorBidi" w:cstheme="majorBidi"/>
                          <w:sz w:val="24"/>
                          <w:szCs w:val="24"/>
                        </w:rPr>
                      </w:pPr>
                      <w:r w:rsidRPr="00FE32E7">
                        <w:rPr>
                          <w:rFonts w:asciiTheme="majorBidi" w:hAnsiTheme="majorBidi" w:cstheme="majorBidi"/>
                          <w:color w:val="FFFFFF" w:themeColor="background1"/>
                          <w:sz w:val="24"/>
                        </w:rPr>
                        <w:t xml:space="preserve">Baktericidinio, fungicidinio, virucidinio ir sporicidinio poveikio dezinfekcijos priemonė </w:t>
                      </w:r>
                      <w:r w:rsidRPr="00F10F79">
                        <w:rPr>
                          <w:rFonts w:asciiTheme="majorBidi" w:hAnsiTheme="majorBidi" w:cstheme="majorBidi"/>
                          <w:color w:val="FFFFFF"/>
                          <w:sz w:val="24"/>
                        </w:rPr>
                        <w:t>neinvazinių medicinos prietaisų nukenksminimui ir dezinfekavimui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A6D8CA" w14:textId="77777777" w:rsidR="003B504B" w:rsidRDefault="003B504B">
      <w:pPr>
        <w:spacing w:before="7"/>
        <w:rPr>
          <w:rFonts w:ascii="Calibri" w:eastAsia="Calibri" w:hAnsi="Calibri" w:cs="Calibri"/>
          <w:sz w:val="26"/>
          <w:szCs w:val="26"/>
        </w:rPr>
      </w:pPr>
    </w:p>
    <w:p w14:paraId="5ED77A86" w14:textId="77777777" w:rsidR="003B504B" w:rsidRPr="001039B9" w:rsidRDefault="00F10F79">
      <w:pPr>
        <w:pStyle w:val="Heading1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006892"/>
          <w:u w:val="single" w:color="FFC425"/>
        </w:rPr>
        <w:t>Sudėtis</w:t>
      </w:r>
    </w:p>
    <w:p w14:paraId="0B8448EA" w14:textId="77777777" w:rsidR="003B504B" w:rsidRPr="001039B9" w:rsidRDefault="00F10F79">
      <w:pPr>
        <w:pStyle w:val="BodyText"/>
        <w:rPr>
          <w:rFonts w:asciiTheme="majorBidi" w:hAnsiTheme="majorBidi" w:cstheme="majorBidi"/>
        </w:rPr>
      </w:pPr>
      <w:r w:rsidRPr="0011039F">
        <w:rPr>
          <w:rFonts w:asciiTheme="majorBidi" w:hAnsiTheme="majorBidi" w:cstheme="majorBidi"/>
          <w:color w:val="231F20"/>
          <w:highlight w:val="yellow"/>
        </w:rPr>
        <w:t>Stabilizuotas vandenilio peroksidas</w:t>
      </w:r>
      <w:r w:rsidRPr="001039B9">
        <w:rPr>
          <w:rFonts w:asciiTheme="majorBidi" w:hAnsiTheme="majorBidi" w:cstheme="majorBidi"/>
          <w:color w:val="231F20"/>
        </w:rPr>
        <w:t xml:space="preserve">  &gt;5% &lt;8%; sidabro druskos kompleksai; vanduo (F.U.)</w:t>
      </w:r>
    </w:p>
    <w:p w14:paraId="6CEDF180" w14:textId="77777777" w:rsidR="003B504B" w:rsidRPr="001039B9" w:rsidRDefault="003B504B">
      <w:pPr>
        <w:spacing w:before="1"/>
        <w:rPr>
          <w:rFonts w:asciiTheme="majorBidi" w:eastAsia="Calibri" w:hAnsiTheme="majorBidi" w:cstheme="majorBidi"/>
          <w:sz w:val="12"/>
          <w:szCs w:val="12"/>
        </w:rPr>
      </w:pPr>
    </w:p>
    <w:p w14:paraId="7F56BA0D" w14:textId="77777777" w:rsidR="003B504B" w:rsidRPr="001039B9" w:rsidRDefault="00F10F79">
      <w:pPr>
        <w:pStyle w:val="Heading1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006892"/>
          <w:u w:val="single" w:color="FFC425"/>
        </w:rPr>
        <w:t>Veikimo mechanizmas</w:t>
      </w:r>
    </w:p>
    <w:p w14:paraId="3D2C7CFC" w14:textId="46B533CC" w:rsidR="003B504B" w:rsidRPr="001039B9" w:rsidRDefault="00F10F79">
      <w:pPr>
        <w:pStyle w:val="BodyText"/>
        <w:spacing w:before="175" w:line="240" w:lineRule="exact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231F20"/>
        </w:rPr>
        <w:t>Vandenilio peroksidas (H</w:t>
      </w:r>
      <w:r w:rsidRPr="001039B9">
        <w:rPr>
          <w:rFonts w:asciiTheme="majorBidi" w:hAnsiTheme="majorBidi" w:cstheme="majorBidi"/>
          <w:color w:val="231F20"/>
          <w:sz w:val="11"/>
          <w:szCs w:val="11"/>
        </w:rPr>
        <w:t>2</w:t>
      </w:r>
      <w:r w:rsidRPr="001039B9">
        <w:rPr>
          <w:rFonts w:asciiTheme="majorBidi" w:hAnsiTheme="majorBidi" w:cstheme="majorBidi"/>
          <w:color w:val="231F20"/>
        </w:rPr>
        <w:t>O</w:t>
      </w:r>
      <w:r w:rsidRPr="001039B9">
        <w:rPr>
          <w:rFonts w:asciiTheme="majorBidi" w:hAnsiTheme="majorBidi" w:cstheme="majorBidi"/>
          <w:color w:val="231F20"/>
          <w:sz w:val="11"/>
          <w:szCs w:val="11"/>
        </w:rPr>
        <w:t>2</w:t>
      </w:r>
      <w:r w:rsidRPr="001039B9">
        <w:rPr>
          <w:rFonts w:asciiTheme="majorBidi" w:hAnsiTheme="majorBidi" w:cstheme="majorBidi"/>
          <w:color w:val="231F20"/>
        </w:rPr>
        <w:t>) sparčiai virsta hidroksilo radikalais (OH•), kurie iš karto reaguoja su pagrindinėmis biomolekulėmis (t.</w:t>
      </w:r>
      <w:r w:rsidR="00AE4960">
        <w:rPr>
          <w:rFonts w:asciiTheme="majorBidi" w:hAnsiTheme="majorBidi" w:cstheme="majorBidi"/>
          <w:color w:val="231F20"/>
        </w:rPr>
        <w:t> </w:t>
      </w:r>
      <w:r w:rsidRPr="001039B9">
        <w:rPr>
          <w:rFonts w:asciiTheme="majorBidi" w:hAnsiTheme="majorBidi" w:cstheme="majorBidi"/>
          <w:color w:val="231F20"/>
        </w:rPr>
        <w:t>y. baltymais, lipidais, nukleorūgštimis ir pan.), taip jas nukenksmindami.</w:t>
      </w:r>
    </w:p>
    <w:p w14:paraId="6EC3978D" w14:textId="77777777" w:rsidR="003B504B" w:rsidRPr="001039B9" w:rsidRDefault="003B504B">
      <w:pPr>
        <w:rPr>
          <w:rFonts w:asciiTheme="majorBidi" w:eastAsia="Calibri" w:hAnsiTheme="majorBidi" w:cstheme="majorBidi"/>
          <w:sz w:val="23"/>
          <w:szCs w:val="23"/>
        </w:rPr>
      </w:pPr>
    </w:p>
    <w:p w14:paraId="6099EB6A" w14:textId="77777777" w:rsidR="003B504B" w:rsidRPr="001039B9" w:rsidRDefault="00F10F79">
      <w:pPr>
        <w:pStyle w:val="Heading1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006892"/>
          <w:u w:val="single" w:color="FFC425"/>
        </w:rPr>
        <w:t>Naudojimo būdas</w:t>
      </w:r>
    </w:p>
    <w:p w14:paraId="0BE930A1" w14:textId="77777777" w:rsidR="003B504B" w:rsidRPr="001039B9" w:rsidRDefault="00F10F79">
      <w:pPr>
        <w:pStyle w:val="BodyText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</w:rPr>
        <w:t xml:space="preserve">Naudoti paruoštas tirpalas, skirtas naudoti kartu su dezinfekavimo sistema „Modulator </w:t>
      </w:r>
      <w:r w:rsidRPr="001039B9">
        <w:rPr>
          <w:rFonts w:asciiTheme="majorBidi" w:hAnsiTheme="majorBidi" w:cstheme="majorBidi"/>
          <w:color w:val="231F20"/>
        </w:rPr>
        <w:t xml:space="preserve">Micro-Nebulizer </w:t>
      </w:r>
      <w:r w:rsidRPr="001039B9">
        <w:rPr>
          <w:rFonts w:asciiTheme="majorBidi" w:hAnsiTheme="majorBidi" w:cstheme="majorBidi"/>
          <w:color w:val="006892"/>
        </w:rPr>
        <w:t>99M</w:t>
      </w:r>
      <w:r w:rsidRPr="001039B9">
        <w:rPr>
          <w:rFonts w:asciiTheme="majorBidi" w:hAnsiTheme="majorBidi" w:cstheme="majorBidi"/>
          <w:color w:val="231F20"/>
        </w:rPr>
        <w:t>“.</w:t>
      </w:r>
    </w:p>
    <w:p w14:paraId="0BFB5247" w14:textId="77777777" w:rsidR="003B504B" w:rsidRPr="001039B9" w:rsidRDefault="003B504B">
      <w:pPr>
        <w:spacing w:before="2"/>
        <w:rPr>
          <w:rFonts w:asciiTheme="majorBidi" w:eastAsia="Calibri" w:hAnsiTheme="majorBidi" w:cstheme="majorBidi"/>
          <w:sz w:val="13"/>
          <w:szCs w:val="13"/>
        </w:rPr>
      </w:pPr>
    </w:p>
    <w:p w14:paraId="439033B4" w14:textId="77777777" w:rsidR="003B504B" w:rsidRPr="001039B9" w:rsidRDefault="00F10F79">
      <w:pPr>
        <w:pStyle w:val="Heading1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006892"/>
          <w:u w:val="single" w:color="FFC425"/>
        </w:rPr>
        <w:t>Veiksmingumas</w:t>
      </w:r>
    </w:p>
    <w:p w14:paraId="0E1C45ED" w14:textId="77777777" w:rsidR="003B504B" w:rsidRPr="001039B9" w:rsidRDefault="00F10F79">
      <w:pPr>
        <w:pStyle w:val="BodyText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231F20"/>
        </w:rPr>
        <w:t>Išbandytas pagal toliau nurodytus standartus:</w:t>
      </w:r>
    </w:p>
    <w:p w14:paraId="6DB35E26" w14:textId="77777777" w:rsidR="003B504B" w:rsidRPr="001039B9" w:rsidRDefault="00F10F79">
      <w:pPr>
        <w:pStyle w:val="BodyText"/>
        <w:spacing w:before="92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231F20"/>
        </w:rPr>
        <w:t>EN 1040, EN 1276, EN 13697, EN 1275, EN 1650, EN 13704, EN 14476, EN 13623, EN 13727, EN 13624, EN14348.</w:t>
      </w:r>
    </w:p>
    <w:p w14:paraId="152FDBD5" w14:textId="77777777" w:rsidR="003B504B" w:rsidRPr="001039B9" w:rsidRDefault="00F10F79">
      <w:pPr>
        <w:pStyle w:val="BodyText"/>
        <w:spacing w:before="92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231F20"/>
        </w:rPr>
        <w:t>Veiksmingumas išbandytas šių mikroorganizmų atžvilgiu*:</w:t>
      </w:r>
    </w:p>
    <w:p w14:paraId="68112FF3" w14:textId="77777777" w:rsidR="003B504B" w:rsidRPr="001039B9" w:rsidRDefault="003B504B">
      <w:pPr>
        <w:rPr>
          <w:rFonts w:asciiTheme="majorBidi" w:hAnsiTheme="majorBidi" w:cstheme="majorBidi"/>
        </w:rPr>
        <w:sectPr w:rsidR="003B504B" w:rsidRPr="001039B9">
          <w:type w:val="continuous"/>
          <w:pgSz w:w="11910" w:h="16840"/>
          <w:pgMar w:top="320" w:right="360" w:bottom="0" w:left="600" w:header="567" w:footer="567" w:gutter="0"/>
          <w:cols w:space="1296"/>
        </w:sectPr>
      </w:pPr>
    </w:p>
    <w:p w14:paraId="7669789B" w14:textId="77777777" w:rsidR="003B504B" w:rsidRPr="001039B9" w:rsidRDefault="00F10F79">
      <w:pPr>
        <w:pStyle w:val="BodyText"/>
        <w:spacing w:before="122" w:line="471" w:lineRule="auto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231F20"/>
        </w:rPr>
        <w:t>Pseudomonas  aeruginosa Staphylococcus  aureus Escherichia coli Enterococcus hirae Candida albicans Aspergillus niger</w:t>
      </w:r>
    </w:p>
    <w:p w14:paraId="4744D1C3" w14:textId="77777777" w:rsidR="003B504B" w:rsidRPr="001039B9" w:rsidRDefault="00F10F79">
      <w:pPr>
        <w:pStyle w:val="BodyText"/>
        <w:spacing w:before="0" w:line="471" w:lineRule="auto"/>
        <w:ind w:right="528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231F20"/>
        </w:rPr>
        <w:t>Bacillus Subtilis Poliovirus 1LSc-2ab Adenovirus 5</w:t>
      </w:r>
    </w:p>
    <w:p w14:paraId="362FFEA1" w14:textId="77777777" w:rsidR="003B504B" w:rsidRPr="001039B9" w:rsidRDefault="00F10F79">
      <w:pPr>
        <w:pStyle w:val="BodyText"/>
        <w:spacing w:before="0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231F20"/>
        </w:rPr>
        <w:t>Murine norovirus</w:t>
      </w:r>
    </w:p>
    <w:p w14:paraId="6A4849B1" w14:textId="77777777" w:rsidR="003B504B" w:rsidRPr="001039B9" w:rsidRDefault="00F10F79">
      <w:pPr>
        <w:pStyle w:val="BodyText"/>
        <w:spacing w:before="122" w:line="471" w:lineRule="auto"/>
        <w:ind w:right="4778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</w:rPr>
        <w:br w:type="column"/>
      </w:r>
      <w:r w:rsidRPr="001039B9">
        <w:rPr>
          <w:rFonts w:asciiTheme="majorBidi" w:hAnsiTheme="majorBidi" w:cstheme="majorBidi"/>
          <w:color w:val="231F20"/>
        </w:rPr>
        <w:t>Clostridium difficile Staphylococcus aureus MRSA Enterococcus faecium VRE Salmonella  thyphimurium Listeria  monocytogenes Klebsiella pneumoniae (CR-KP) Mycobacterium Avium Mycobacterium Terrae Legionella  pneumophila</w:t>
      </w:r>
    </w:p>
    <w:p w14:paraId="723FF805" w14:textId="77777777" w:rsidR="003B504B" w:rsidRPr="001039B9" w:rsidRDefault="00F10F79">
      <w:pPr>
        <w:pStyle w:val="BodyText"/>
        <w:spacing w:before="0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231F20"/>
        </w:rPr>
        <w:t>Acinetobacter  baumannii</w:t>
      </w:r>
    </w:p>
    <w:p w14:paraId="1B1AC72A" w14:textId="77777777" w:rsidR="003B504B" w:rsidRPr="001039B9" w:rsidRDefault="003B504B">
      <w:pPr>
        <w:rPr>
          <w:rFonts w:asciiTheme="majorBidi" w:hAnsiTheme="majorBidi" w:cstheme="majorBidi"/>
        </w:rPr>
        <w:sectPr w:rsidR="003B504B" w:rsidRPr="001039B9">
          <w:type w:val="continuous"/>
          <w:pgSz w:w="11910" w:h="16840"/>
          <w:pgMar w:top="320" w:right="360" w:bottom="0" w:left="600" w:header="567" w:footer="567" w:gutter="0"/>
          <w:cols w:num="2" w:space="1296" w:equalWidth="0">
            <w:col w:w="2266" w:space="1228"/>
            <w:col w:w="7456"/>
          </w:cols>
        </w:sectPr>
      </w:pPr>
    </w:p>
    <w:p w14:paraId="6D5746BC" w14:textId="6C940F23" w:rsidR="003B504B" w:rsidRPr="001039B9" w:rsidRDefault="00ED6404">
      <w:pPr>
        <w:spacing w:before="2"/>
        <w:rPr>
          <w:rFonts w:asciiTheme="majorBidi" w:eastAsia="Calibri" w:hAnsiTheme="majorBidi" w:cstheme="majorBidi"/>
          <w:sz w:val="13"/>
          <w:szCs w:val="13"/>
        </w:rPr>
      </w:pPr>
      <w:r>
        <w:rPr>
          <w:rFonts w:asciiTheme="majorBidi" w:hAnsiTheme="majorBidi" w:cstheme="majorBidi"/>
          <w:noProof/>
          <w:lang w:eastAsia="lt-LT"/>
        </w:rPr>
        <mc:AlternateContent>
          <mc:Choice Requires="wpg">
            <w:drawing>
              <wp:anchor distT="0" distB="0" distL="114300" distR="114300" simplePos="0" relativeHeight="503313488" behindDoc="1" locked="0" layoutInCell="1" allowOverlap="1" wp14:anchorId="4457B40B" wp14:editId="29D85DD2">
                <wp:simplePos x="0" y="0"/>
                <wp:positionH relativeFrom="page">
                  <wp:posOffset>278765</wp:posOffset>
                </wp:positionH>
                <wp:positionV relativeFrom="page">
                  <wp:posOffset>243205</wp:posOffset>
                </wp:positionV>
                <wp:extent cx="6989445" cy="10131425"/>
                <wp:effectExtent l="254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9445" cy="10131425"/>
                          <a:chOff x="439" y="383"/>
                          <a:chExt cx="11007" cy="15955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439" y="383"/>
                            <a:ext cx="11007" cy="15955"/>
                            <a:chOff x="439" y="383"/>
                            <a:chExt cx="11007" cy="15955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439" y="383"/>
                              <a:ext cx="11007" cy="15955"/>
                            </a:xfrm>
                            <a:custGeom>
                              <a:avLst/>
                              <a:gdLst>
                                <a:gd name="T0" fmla="+- 0 439 439"/>
                                <a:gd name="T1" fmla="*/ T0 w 11007"/>
                                <a:gd name="T2" fmla="+- 0 16337 383"/>
                                <a:gd name="T3" fmla="*/ 16337 h 15955"/>
                                <a:gd name="T4" fmla="+- 0 11446 439"/>
                                <a:gd name="T5" fmla="*/ T4 w 11007"/>
                                <a:gd name="T6" fmla="+- 0 16337 383"/>
                                <a:gd name="T7" fmla="*/ 16337 h 15955"/>
                                <a:gd name="T8" fmla="+- 0 11446 439"/>
                                <a:gd name="T9" fmla="*/ T8 w 11007"/>
                                <a:gd name="T10" fmla="+- 0 383 383"/>
                                <a:gd name="T11" fmla="*/ 383 h 15955"/>
                                <a:gd name="T12" fmla="+- 0 439 439"/>
                                <a:gd name="T13" fmla="*/ T12 w 11007"/>
                                <a:gd name="T14" fmla="+- 0 383 383"/>
                                <a:gd name="T15" fmla="*/ 383 h 15955"/>
                                <a:gd name="T16" fmla="+- 0 439 439"/>
                                <a:gd name="T17" fmla="*/ T16 w 11007"/>
                                <a:gd name="T18" fmla="+- 0 16337 383"/>
                                <a:gd name="T19" fmla="*/ 16337 h 159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07" h="15955">
                                  <a:moveTo>
                                    <a:pt x="0" y="15954"/>
                                  </a:moveTo>
                                  <a:lnTo>
                                    <a:pt x="11007" y="15954"/>
                                  </a:lnTo>
                                  <a:lnTo>
                                    <a:pt x="110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9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EF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20" y="836"/>
                            <a:ext cx="10534" cy="893"/>
                            <a:chOff x="720" y="836"/>
                            <a:chExt cx="10534" cy="893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20" y="836"/>
                              <a:ext cx="10534" cy="89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534"/>
                                <a:gd name="T2" fmla="+- 0 836 836"/>
                                <a:gd name="T3" fmla="*/ 836 h 893"/>
                                <a:gd name="T4" fmla="+- 0 11254 720"/>
                                <a:gd name="T5" fmla="*/ T4 w 10534"/>
                                <a:gd name="T6" fmla="+- 0 836 836"/>
                                <a:gd name="T7" fmla="*/ 836 h 893"/>
                                <a:gd name="T8" fmla="+- 0 11254 720"/>
                                <a:gd name="T9" fmla="*/ T8 w 10534"/>
                                <a:gd name="T10" fmla="+- 0 1729 836"/>
                                <a:gd name="T11" fmla="*/ 1729 h 893"/>
                                <a:gd name="T12" fmla="+- 0 720 720"/>
                                <a:gd name="T13" fmla="*/ T12 w 10534"/>
                                <a:gd name="T14" fmla="+- 0 1729 836"/>
                                <a:gd name="T15" fmla="*/ 1729 h 893"/>
                                <a:gd name="T16" fmla="+- 0 720 720"/>
                                <a:gd name="T17" fmla="*/ T16 w 10534"/>
                                <a:gd name="T18" fmla="+- 0 836 836"/>
                                <a:gd name="T19" fmla="*/ 836 h 8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34" h="893">
                                  <a:moveTo>
                                    <a:pt x="0" y="0"/>
                                  </a:moveTo>
                                  <a:lnTo>
                                    <a:pt x="10534" y="0"/>
                                  </a:lnTo>
                                  <a:lnTo>
                                    <a:pt x="10534" y="893"/>
                                  </a:lnTo>
                                  <a:lnTo>
                                    <a:pt x="0" y="89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8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4E71E44" id="Group 2" o:spid="_x0000_s1026" style="position:absolute;margin-left:21.95pt;margin-top:19.15pt;width:550.35pt;height:797.75pt;z-index:-2992;mso-position-horizontal-relative:page;mso-position-vertical-relative:page" coordorigin="439,383" coordsize="11007,15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">
                <v:group id="Group 5" o:spid="_x0000_s1027" style="position:absolute;left:439;top:383;width:11007;height:15955" coordorigin="439,383" coordsize="11007,1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439;top:383;width:11007;height:15955;visibility:visible;mso-wrap-style:square;v-text-anchor:top" coordsize="11007,1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" path="m,15954r11007,l11007,,,,,15954xe" fillcolor="#daeff5" stroked="f">
                    <v:path arrowok="t" o:connecttype="custom" o:connectlocs="0,16337;11007,16337;11007,383;0,383;0,16337" o:connectangles="0,0,0,0,0"/>
                  </v:shape>
                </v:group>
                <v:group id="Group 3" o:spid="_x0000_s1029" style="position:absolute;left:720;top:836;width:10534;height:893" coordorigin="720,836" coordsize="10534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720;top:836;width:10534;height:893;visibility:visible;mso-wrap-style:square;v-text-anchor:top" coordsize="10534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" path="m,l10534,r,893l,893,,xe" fillcolor="#006892" stroked="f">
                    <v:path arrowok="t" o:connecttype="custom" o:connectlocs="0,836;10534,836;10534,1729;0,1729;0,836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48418824" w14:textId="77777777" w:rsidR="003B504B" w:rsidRPr="001039B9" w:rsidRDefault="00F10F79">
      <w:pPr>
        <w:ind w:left="120"/>
        <w:rPr>
          <w:rFonts w:asciiTheme="majorBidi" w:eastAsia="Calibri" w:hAnsiTheme="majorBidi" w:cstheme="majorBidi"/>
          <w:sz w:val="12"/>
          <w:szCs w:val="12"/>
        </w:rPr>
      </w:pPr>
      <w:r w:rsidRPr="001039B9">
        <w:rPr>
          <w:rFonts w:asciiTheme="majorBidi" w:hAnsiTheme="majorBidi" w:cstheme="majorBidi"/>
          <w:color w:val="231F20"/>
          <w:sz w:val="12"/>
        </w:rPr>
        <w:t>*Pasirinktas didesnio skaičiaus ištirtų mikroorganizmų sąrašas</w:t>
      </w:r>
    </w:p>
    <w:p w14:paraId="1510B202" w14:textId="77777777" w:rsidR="003B504B" w:rsidRPr="001039B9" w:rsidRDefault="003B504B">
      <w:pPr>
        <w:spacing w:before="8"/>
        <w:rPr>
          <w:rFonts w:asciiTheme="majorBidi" w:eastAsia="Calibri" w:hAnsiTheme="majorBidi" w:cstheme="majorBidi"/>
          <w:sz w:val="19"/>
          <w:szCs w:val="19"/>
        </w:rPr>
      </w:pPr>
    </w:p>
    <w:p w14:paraId="3C89C3E7" w14:textId="77777777" w:rsidR="003B504B" w:rsidRPr="001039B9" w:rsidRDefault="00F10F79">
      <w:pPr>
        <w:pStyle w:val="Heading1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006892"/>
          <w:u w:val="single" w:color="FFC425"/>
        </w:rPr>
        <w:t>Atitiktis paviršių dezinfekcijos veikiant patalpų orą standartams</w:t>
      </w:r>
    </w:p>
    <w:p w14:paraId="0C2D5235" w14:textId="77777777" w:rsidR="003B504B" w:rsidRPr="001039B9" w:rsidRDefault="00F10F79">
      <w:pPr>
        <w:pStyle w:val="BodyText"/>
        <w:spacing w:line="330" w:lineRule="auto"/>
        <w:ind w:right="7812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231F20"/>
        </w:rPr>
        <w:t>Išbandyta pagal toliau nurodytą standartą: Afnor NF T72-281.</w:t>
      </w:r>
    </w:p>
    <w:p w14:paraId="41B77433" w14:textId="77777777" w:rsidR="003B504B" w:rsidRPr="001039B9" w:rsidRDefault="003B504B">
      <w:pPr>
        <w:spacing w:before="1"/>
        <w:rPr>
          <w:rFonts w:asciiTheme="majorBidi" w:eastAsia="Calibri" w:hAnsiTheme="majorBidi" w:cstheme="majorBidi"/>
          <w:sz w:val="11"/>
          <w:szCs w:val="11"/>
        </w:rPr>
      </w:pPr>
    </w:p>
    <w:p w14:paraId="35F1A42A" w14:textId="77777777" w:rsidR="003B504B" w:rsidRPr="001039B9" w:rsidRDefault="00F10F79">
      <w:pPr>
        <w:pStyle w:val="Heading1"/>
        <w:ind w:left="115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006892"/>
          <w:u w:val="single" w:color="FFC425"/>
        </w:rPr>
        <w:t>Atitiktis</w:t>
      </w:r>
    </w:p>
    <w:p w14:paraId="1233BEB8" w14:textId="77777777" w:rsidR="003B504B" w:rsidRPr="001039B9" w:rsidRDefault="00F10F79">
      <w:pPr>
        <w:pStyle w:val="BodyText"/>
        <w:spacing w:before="65"/>
        <w:ind w:left="115"/>
        <w:rPr>
          <w:rFonts w:asciiTheme="majorBidi" w:hAnsiTheme="majorBidi" w:cstheme="majorBidi"/>
        </w:rPr>
      </w:pPr>
      <w:r w:rsidRPr="003C74DE">
        <w:rPr>
          <w:rFonts w:asciiTheme="majorBidi" w:hAnsiTheme="majorBidi" w:cstheme="majorBidi"/>
          <w:color w:val="231F20"/>
        </w:rPr>
        <w:t>Direktyva 93/42/EEB - IIa klasės medicinos prietaisas</w:t>
      </w:r>
    </w:p>
    <w:p w14:paraId="66285C0D" w14:textId="77777777" w:rsidR="003B504B" w:rsidRPr="001039B9" w:rsidRDefault="003B504B">
      <w:pPr>
        <w:spacing w:before="12"/>
        <w:rPr>
          <w:rFonts w:asciiTheme="majorBidi" w:eastAsia="Calibri" w:hAnsiTheme="majorBidi" w:cstheme="majorBidi"/>
          <w:sz w:val="10"/>
          <w:szCs w:val="10"/>
        </w:rPr>
      </w:pPr>
    </w:p>
    <w:p w14:paraId="35605C4E" w14:textId="63B522E1" w:rsidR="003B504B" w:rsidRPr="001039B9" w:rsidRDefault="00F10F79">
      <w:pPr>
        <w:pStyle w:val="Heading1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006892"/>
          <w:u w:val="single" w:color="FFC425"/>
        </w:rPr>
        <w:t>Pakuotė</w:t>
      </w:r>
    </w:p>
    <w:p w14:paraId="4CC1E04C" w14:textId="77777777" w:rsidR="003B504B" w:rsidRPr="001039B9" w:rsidRDefault="00F10F79">
      <w:pPr>
        <w:pStyle w:val="BodyText"/>
        <w:rPr>
          <w:rFonts w:asciiTheme="majorBidi" w:hAnsiTheme="majorBidi" w:cstheme="majorBidi"/>
        </w:rPr>
      </w:pPr>
      <w:r w:rsidRPr="003C74DE">
        <w:rPr>
          <w:rFonts w:asciiTheme="majorBidi" w:hAnsiTheme="majorBidi" w:cstheme="majorBidi"/>
          <w:color w:val="231F20"/>
          <w:highlight w:val="yellow"/>
        </w:rPr>
        <w:t>1L butelis (pakuotėje 6 vnt.)</w:t>
      </w:r>
      <w:r w:rsidRPr="003C74DE">
        <w:rPr>
          <w:rFonts w:asciiTheme="majorBidi" w:hAnsiTheme="majorBidi" w:cstheme="majorBidi"/>
          <w:color w:val="231F20"/>
        </w:rPr>
        <w:t>.</w:t>
      </w:r>
    </w:p>
    <w:p w14:paraId="44C693C8" w14:textId="77777777" w:rsidR="003B504B" w:rsidRPr="001039B9" w:rsidRDefault="00F10F79">
      <w:pPr>
        <w:pStyle w:val="Heading1"/>
        <w:spacing w:before="152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006892"/>
          <w:u w:val="single" w:color="FFC425"/>
        </w:rPr>
        <w:t>Galiojimo laikas</w:t>
      </w:r>
    </w:p>
    <w:p w14:paraId="11204723" w14:textId="77777777" w:rsidR="003B504B" w:rsidRPr="001039B9" w:rsidRDefault="00F10F79">
      <w:pPr>
        <w:pStyle w:val="BodyText"/>
        <w:spacing w:before="79" w:line="240" w:lineRule="exact"/>
        <w:rPr>
          <w:rFonts w:asciiTheme="majorBidi" w:hAnsiTheme="majorBidi" w:cstheme="majorBidi"/>
        </w:rPr>
      </w:pPr>
      <w:r w:rsidRPr="001039B9">
        <w:rPr>
          <w:rFonts w:asciiTheme="majorBidi" w:hAnsiTheme="majorBidi" w:cstheme="majorBidi"/>
          <w:color w:val="231F20"/>
        </w:rPr>
        <w:t>Dezinfekcijos priemonė „99S“ galioja 36 mėnesius nuo pagaminimo datos, laikant originalioje pakuotėje ne žemesnėje nei 5 °C ir ne aukštesnėje nei 30 °C temperatūroje atokiai nuo tiesioginių saulės spindulių.</w:t>
      </w:r>
    </w:p>
    <w:p w14:paraId="1E55B746" w14:textId="77777777" w:rsidR="003B504B" w:rsidRPr="001039B9" w:rsidRDefault="003B504B">
      <w:pPr>
        <w:rPr>
          <w:rFonts w:asciiTheme="majorBidi" w:eastAsia="Calibri" w:hAnsiTheme="majorBidi" w:cstheme="majorBidi"/>
          <w:sz w:val="20"/>
          <w:szCs w:val="20"/>
        </w:rPr>
      </w:pPr>
    </w:p>
    <w:p w14:paraId="5964BCB0" w14:textId="77777777" w:rsidR="003B504B" w:rsidRPr="001039B9" w:rsidRDefault="003B504B">
      <w:pPr>
        <w:rPr>
          <w:rFonts w:asciiTheme="majorBidi" w:eastAsia="Calibri" w:hAnsiTheme="majorBidi" w:cstheme="majorBidi"/>
          <w:sz w:val="20"/>
          <w:szCs w:val="20"/>
        </w:rPr>
      </w:pPr>
    </w:p>
    <w:p w14:paraId="08A797FD" w14:textId="77777777" w:rsidR="003B504B" w:rsidRPr="001039B9" w:rsidRDefault="003B504B">
      <w:pPr>
        <w:rPr>
          <w:rFonts w:asciiTheme="majorBidi" w:eastAsia="Calibri" w:hAnsiTheme="majorBidi" w:cstheme="majorBidi"/>
          <w:sz w:val="20"/>
          <w:szCs w:val="20"/>
        </w:rPr>
      </w:pPr>
    </w:p>
    <w:p w14:paraId="207E758A" w14:textId="77777777" w:rsidR="003B504B" w:rsidRPr="001039B9" w:rsidRDefault="00F10F79">
      <w:pPr>
        <w:spacing w:before="173"/>
        <w:ind w:left="608"/>
        <w:rPr>
          <w:rFonts w:asciiTheme="majorBidi" w:eastAsia="Calibri" w:hAnsiTheme="majorBidi" w:cstheme="majorBidi"/>
          <w:sz w:val="16"/>
          <w:szCs w:val="16"/>
        </w:rPr>
      </w:pPr>
      <w:r w:rsidRPr="001039B9">
        <w:rPr>
          <w:rFonts w:asciiTheme="majorBidi" w:hAnsiTheme="majorBidi" w:cstheme="majorBidi"/>
          <w:color w:val="231F20"/>
          <w:sz w:val="16"/>
        </w:rPr>
        <w:t xml:space="preserve">99 Technologies S.A. - Via al Chioso, 8 - 6900 Lugano - Switzerland  T: +41 91 970 29 29  el. paštas: </w:t>
      </w:r>
      <w:hyperlink r:id="rId4">
        <w:r w:rsidRPr="001039B9">
          <w:rPr>
            <w:rFonts w:asciiTheme="majorBidi" w:hAnsiTheme="majorBidi" w:cstheme="majorBidi"/>
            <w:color w:val="231F20"/>
            <w:sz w:val="16"/>
          </w:rPr>
          <w:t>info@99technologies.ch</w:t>
        </w:r>
      </w:hyperlink>
      <w:r w:rsidRPr="001039B9">
        <w:rPr>
          <w:rFonts w:asciiTheme="majorBidi" w:hAnsiTheme="majorBidi" w:cstheme="majorBidi"/>
          <w:color w:val="231F20"/>
          <w:sz w:val="16"/>
        </w:rPr>
        <w:t xml:space="preserve">  </w:t>
      </w:r>
      <w:hyperlink r:id="rId5">
        <w:r w:rsidRPr="001039B9">
          <w:rPr>
            <w:rFonts w:asciiTheme="majorBidi" w:hAnsiTheme="majorBidi" w:cstheme="majorBidi"/>
            <w:color w:val="006892"/>
            <w:sz w:val="16"/>
          </w:rPr>
          <w:t>www.99technologies.ch</w:t>
        </w:r>
      </w:hyperlink>
    </w:p>
    <w:p w14:paraId="2E70048D" w14:textId="77777777" w:rsidR="003B504B" w:rsidRDefault="00F10F79">
      <w:pPr>
        <w:spacing w:before="111"/>
        <w:ind w:right="115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color w:val="231F20"/>
          <w:sz w:val="16"/>
        </w:rPr>
        <w:t>TTDS_99S_eng_rev.03_191119</w:t>
      </w:r>
    </w:p>
    <w:sectPr w:rsidR="003B504B">
      <w:type w:val="continuous"/>
      <w:pgSz w:w="11910" w:h="16840"/>
      <w:pgMar w:top="320" w:right="360" w:bottom="0" w:left="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4B"/>
    <w:rsid w:val="00081C74"/>
    <w:rsid w:val="000A7BAE"/>
    <w:rsid w:val="001039B9"/>
    <w:rsid w:val="0011039F"/>
    <w:rsid w:val="003B504B"/>
    <w:rsid w:val="003C74DE"/>
    <w:rsid w:val="004F43DE"/>
    <w:rsid w:val="009958E5"/>
    <w:rsid w:val="009D616B"/>
    <w:rsid w:val="00AE4960"/>
    <w:rsid w:val="00D37169"/>
    <w:rsid w:val="00DA24C1"/>
    <w:rsid w:val="00ED6404"/>
    <w:rsid w:val="00F10F79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9DB1"/>
  <w15:docId w15:val="{23745EE8-37F8-4ECB-BD59-513C05EE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1"/>
      <w:ind w:left="120"/>
      <w:outlineLvl w:val="0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1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99technologies.ch/" TargetMode="External"/><Relationship Id="rId4" Type="http://schemas.openxmlformats.org/officeDocument/2006/relationships/hyperlink" Target="mailto:info@99technologies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Vaida Juodrienė</cp:lastModifiedBy>
  <cp:revision>2</cp:revision>
  <dcterms:created xsi:type="dcterms:W3CDTF">2021-06-30T12:15:00Z</dcterms:created>
  <dcterms:modified xsi:type="dcterms:W3CDTF">2021-06-30T12:15:00Z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LastSaved">
    <vt:filetime>2021-01-19T00:00:00Z</vt:filetime>
  </property>
</Properties>
</file>