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 xml:space="preserve">2020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tik</w:t>
      </w:r>
      <w:proofErr w:type="spellEnd"/>
      <w:r w:rsidRPr="00B8420B">
        <w:rPr>
          <w:rFonts w:ascii="Arial" w:eastAsia="Batang" w:hAnsi="Arial" w:cs="Arial"/>
          <w:b w:val="0"/>
          <w:sz w:val="22"/>
          <w:szCs w:val="22"/>
          <w:lang w:eastAsia="ja-JP" w:bidi="lo-LA"/>
        </w:rPr>
        <w:t xml:space="preserve">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bookmarkStart w:id="1" w:name="_GoBack"/>
      <w:bookmarkEnd w:id="1"/>
    </w:p>
    <w:sectPr w:rsidR="00813A9A" w:rsidSect="00401000">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005CA" w14:textId="77777777" w:rsidR="00B00DA8" w:rsidRDefault="00B00DA8" w:rsidP="009A01F8">
      <w:r>
        <w:separator/>
      </w:r>
    </w:p>
  </w:endnote>
  <w:endnote w:type="continuationSeparator" w:id="0">
    <w:p w14:paraId="2A3AAF80" w14:textId="77777777" w:rsidR="00B00DA8" w:rsidRDefault="00B00DA8"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82871" w14:textId="77777777" w:rsidR="00B00DA8" w:rsidRDefault="00B00DA8" w:rsidP="009A01F8">
      <w:r>
        <w:separator/>
      </w:r>
    </w:p>
  </w:footnote>
  <w:footnote w:type="continuationSeparator" w:id="0">
    <w:p w14:paraId="433ABA7C" w14:textId="77777777" w:rsidR="00B00DA8" w:rsidRDefault="00B00DA8"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3C0FD1D4">
              <wp:simplePos x="0" y="0"/>
              <wp:positionH relativeFrom="page">
                <wp:align>right</wp:align>
              </wp:positionH>
              <wp:positionV relativeFrom="page">
                <wp:align>top</wp:align>
              </wp:positionV>
              <wp:extent cx="7772400" cy="457200"/>
              <wp:effectExtent l="0" t="0" r="0" b="0"/>
              <wp:wrapNone/>
              <wp:docPr id="4" name="MSIPCM81454f4280ac022fa648489e" descr="{&quot;HashCode&quot;:761644326,&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26205B47" w:rsidR="00855EE9" w:rsidRPr="00007703" w:rsidRDefault="00007703" w:rsidP="00007703">
                          <w:pPr>
                            <w:jc w:val="right"/>
                            <w:rPr>
                              <w:rFonts w:ascii="Arial" w:hAnsi="Arial" w:cs="Arial"/>
                              <w:color w:val="000000"/>
                            </w:rPr>
                          </w:pPr>
                          <w:r w:rsidRPr="00007703">
                            <w:rPr>
                              <w:rFonts w:ascii="Arial" w:hAnsi="Arial" w:cs="Arial"/>
                              <w:color w:val="000000"/>
                            </w:rPr>
                            <w:t>SKIRTA ADRESATUI</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81454f4280ac022fa648489e" o:spid="_x0000_s1028" type="#_x0000_t202" alt="{&quot;HashCode&quot;:761644326,&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" o:allowincell="f" filled="f" stroked="f" strokeweight=".5pt">
              <v:textbox inset=",0,20pt,0">
                <w:txbxContent>
                  <w:p w14:paraId="2AF16C33" w14:textId="26205B47" w:rsidR="00855EE9" w:rsidRPr="00007703" w:rsidRDefault="00007703" w:rsidP="00007703">
                    <w:pPr>
                      <w:jc w:val="right"/>
                      <w:rPr>
                        <w:rFonts w:ascii="Arial" w:hAnsi="Arial" w:cs="Arial"/>
                        <w:color w:val="000000"/>
                      </w:rPr>
                    </w:pPr>
                    <w:r w:rsidRPr="00007703">
                      <w:rPr>
                        <w:rFonts w:ascii="Arial" w:hAnsi="Arial" w:cs="Arial"/>
                        <w:color w:val="000000"/>
                      </w:rPr>
                      <w:t>SKIRTA ADRESATUI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07703"/>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37935"/>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1000"/>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86A7F"/>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5755"/>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44B"/>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20A2997F-0DF5-4E9A-B94E-3CA1DB4C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2020-12-26T20:44:00Z</dcterms:created>
  <dcterms:modified xsi:type="dcterms:W3CDTF">2021-01-13T08:36:00Z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d916b46-673e-4e6b-9b1a-01a4679461ce_Enabled">
    <vt:lpwstr>True</vt:lpwstr>
  </property>
  <property fmtid="{D5CDD505-2E9C-101B-9397-08002B2CF9AE}" pid="4" name="MSIP_Label_3d916b46-673e-4e6b-9b1a-01a4679461ce_SiteId">
    <vt:lpwstr>ea88e983-d65a-47b3-adb4-3e1c6d2110d2</vt:lpwstr>
  </property>
  <property fmtid="{D5CDD505-2E9C-101B-9397-08002B2CF9AE}" pid="5" name="MSIP_Label_3d916b46-673e-4e6b-9b1a-01a4679461ce_Owner">
    <vt:lpwstr>Gintare.Guobyte@ignitis.lt</vt:lpwstr>
  </property>
  <property fmtid="{D5CDD505-2E9C-101B-9397-08002B2CF9AE}" pid="6" name="MSIP_Label_3d916b46-673e-4e6b-9b1a-01a4679461ce_SetDate">
    <vt:lpwstr>2021-01-12T14:33:33.6269551Z</vt:lpwstr>
  </property>
  <property fmtid="{D5CDD505-2E9C-101B-9397-08002B2CF9AE}" pid="7" name="MSIP_Label_3d916b46-673e-4e6b-9b1a-01a4679461ce_Name">
    <vt:lpwstr>Skirta adresatui</vt:lpwstr>
  </property>
  <property fmtid="{D5CDD505-2E9C-101B-9397-08002B2CF9AE}" pid="8" name="MSIP_Label_3d916b46-673e-4e6b-9b1a-01a4679461ce_Application">
    <vt:lpwstr>Microsoft Azure Information Protection</vt:lpwstr>
  </property>
  <property fmtid="{D5CDD505-2E9C-101B-9397-08002B2CF9AE}" pid="9" name="MSIP_Label_3d916b46-673e-4e6b-9b1a-01a4679461ce_ActionId">
    <vt:lpwstr>98ffa5b6-1d41-4f65-b9de-e5ac91871fe2</vt:lpwstr>
  </property>
  <property fmtid="{D5CDD505-2E9C-101B-9397-08002B2CF9AE}" pid="10" name="MSIP_Label_3d916b46-673e-4e6b-9b1a-01a4679461ce_Extended_MSFT_Method">
    <vt:lpwstr>Manual</vt:lpwstr>
  </property>
  <property fmtid="{D5CDD505-2E9C-101B-9397-08002B2CF9AE}" pid="11" name="MSIP_Label_4967f987-646f-4bf0-adb6-9f30b29cd8ee_Enabled">
    <vt:lpwstr>True</vt:lpwstr>
  </property>
  <property fmtid="{D5CDD505-2E9C-101B-9397-08002B2CF9AE}" pid="12" name="MSIP_Label_4967f987-646f-4bf0-adb6-9f30b29cd8ee_SiteId">
    <vt:lpwstr>ea88e983-d65a-47b3-adb4-3e1c6d2110d2</vt:lpwstr>
  </property>
  <property fmtid="{D5CDD505-2E9C-101B-9397-08002B2CF9AE}" pid="13" name="MSIP_Label_4967f987-646f-4bf0-adb6-9f30b29cd8ee_Owner">
    <vt:lpwstr>Gintare.Guobyte@ignitis.lt</vt:lpwstr>
  </property>
  <property fmtid="{D5CDD505-2E9C-101B-9397-08002B2CF9AE}" pid="14" name="MSIP_Label_4967f987-646f-4bf0-adb6-9f30b29cd8ee_SetDate">
    <vt:lpwstr>2021-01-12T14:33:33.6269551Z</vt:lpwstr>
  </property>
  <property fmtid="{D5CDD505-2E9C-101B-9397-08002B2CF9AE}" pid="15" name="MSIP_Label_4967f987-646f-4bf0-adb6-9f30b29cd8ee_Name">
    <vt:lpwstr>Skirta adresatui</vt:lpwstr>
  </property>
  <property fmtid="{D5CDD505-2E9C-101B-9397-08002B2CF9AE}" pid="16" name="MSIP_Label_4967f987-646f-4bf0-adb6-9f30b29cd8ee_Application">
    <vt:lpwstr>Microsoft Azure Information Protection</vt:lpwstr>
  </property>
  <property fmtid="{D5CDD505-2E9C-101B-9397-08002B2CF9AE}" pid="17" name="MSIP_Label_4967f987-646f-4bf0-adb6-9f30b29cd8ee_ActionId">
    <vt:lpwstr>98ffa5b6-1d41-4f65-b9de-e5ac91871fe2</vt:lpwstr>
  </property>
  <property fmtid="{D5CDD505-2E9C-101B-9397-08002B2CF9AE}" pid="18" name="MSIP_Label_4967f987-646f-4bf0-adb6-9f30b29cd8ee_Parent">
    <vt:lpwstr>3d916b46-673e-4e6b-9b1a-01a4679461ce</vt:lpwstr>
  </property>
  <property fmtid="{D5CDD505-2E9C-101B-9397-08002B2CF9AE}" pid="19" name="MSIP_Label_4967f987-646f-4bf0-adb6-9f30b29cd8ee_Extended_MSFT_Method">
    <vt:lpwstr>Manual</vt:lpwstr>
  </property>
  <property fmtid="{D5CDD505-2E9C-101B-9397-08002B2CF9AE}" pid="20" name="Sensitivity">
    <vt:lpwstr>Skirta adresatui Skirta adresatui</vt:lpwstr>
  </property>
</Properties>
</file>