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bookmarkStart w:id="0" w:name="_GoBack"/>
      <w:bookmarkEnd w:id="0"/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7790833C" w:rsidR="00D868C6" w:rsidRPr="00D549A3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549A3">
        <w:rPr>
          <w:rFonts w:cs="Arial"/>
          <w:b/>
          <w:sz w:val="20"/>
          <w:szCs w:val="20"/>
        </w:rPr>
        <w:t xml:space="preserve">Paslaugos </w:t>
      </w:r>
      <w:r w:rsidRPr="00D549A3">
        <w:rPr>
          <w:rFonts w:cs="Arial"/>
          <w:sz w:val="20"/>
          <w:szCs w:val="20"/>
        </w:rPr>
        <w:t>–</w:t>
      </w:r>
      <w:r w:rsidR="00F97E3A" w:rsidRPr="00D549A3">
        <w:rPr>
          <w:rFonts w:cs="Arial"/>
          <w:sz w:val="20"/>
          <w:szCs w:val="20"/>
        </w:rPr>
        <w:t xml:space="preserve"> </w:t>
      </w:r>
      <w:r w:rsidR="00E14E46" w:rsidRPr="00D549A3">
        <w:rPr>
          <w:rFonts w:cs="Arial"/>
          <w:sz w:val="20"/>
          <w:szCs w:val="20"/>
        </w:rPr>
        <w:t>A</w:t>
      </w:r>
      <w:r w:rsidR="00AD23DC" w:rsidRPr="00D549A3">
        <w:rPr>
          <w:rFonts w:cs="Arial"/>
          <w:sz w:val="20"/>
          <w:szCs w:val="20"/>
        </w:rPr>
        <w:t>pskaitos</w:t>
      </w:r>
      <w:r w:rsidR="00043231" w:rsidRPr="00D549A3">
        <w:rPr>
          <w:rFonts w:cs="Arial"/>
          <w:sz w:val="20"/>
          <w:szCs w:val="20"/>
        </w:rPr>
        <w:t xml:space="preserve"> paslaugos</w:t>
      </w:r>
      <w:r w:rsidR="00025963" w:rsidRPr="00D549A3">
        <w:rPr>
          <w:rFonts w:cs="Arial"/>
          <w:sz w:val="20"/>
          <w:szCs w:val="20"/>
        </w:rPr>
        <w:t>.</w:t>
      </w:r>
    </w:p>
    <w:p w14:paraId="193D76A5" w14:textId="7D9BEFDB" w:rsidR="00D868C6" w:rsidRPr="00D549A3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549A3">
        <w:rPr>
          <w:rFonts w:cs="Arial"/>
          <w:b/>
          <w:sz w:val="20"/>
          <w:szCs w:val="20"/>
        </w:rPr>
        <w:t>Bendrovė</w:t>
      </w:r>
      <w:r w:rsidR="00D868C6" w:rsidRPr="00D549A3">
        <w:rPr>
          <w:rFonts w:cs="Arial"/>
          <w:b/>
          <w:sz w:val="20"/>
          <w:szCs w:val="20"/>
        </w:rPr>
        <w:t xml:space="preserve"> arba Pirkėjas</w:t>
      </w:r>
      <w:r w:rsidRPr="00D549A3">
        <w:rPr>
          <w:rFonts w:cs="Arial"/>
          <w:b/>
          <w:sz w:val="20"/>
          <w:szCs w:val="20"/>
        </w:rPr>
        <w:t xml:space="preserve"> </w:t>
      </w:r>
      <w:r w:rsidRPr="00D549A3">
        <w:rPr>
          <w:rFonts w:cs="Arial"/>
          <w:sz w:val="20"/>
          <w:szCs w:val="20"/>
        </w:rPr>
        <w:t>–</w:t>
      </w:r>
      <w:r w:rsidR="00DE6560" w:rsidRPr="00D549A3">
        <w:rPr>
          <w:rFonts w:cs="Arial"/>
          <w:sz w:val="20"/>
          <w:szCs w:val="20"/>
        </w:rPr>
        <w:t xml:space="preserve"> </w:t>
      </w:r>
      <w:bookmarkStart w:id="1" w:name="_Hlk31698696"/>
      <w:sdt>
        <w:sdtPr>
          <w:rPr>
            <w:sz w:val="20"/>
            <w:szCs w:val="20"/>
          </w:rPr>
          <w:id w:val="1799497722"/>
          <w:placeholder>
            <w:docPart w:val="6C7211E7796D48D586130365CC39740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843072" w:rsidRPr="00D549A3">
            <w:rPr>
              <w:sz w:val="20"/>
              <w:szCs w:val="20"/>
            </w:rPr>
            <w:t>UAB Vilniaus kogeneracinė jėgainė</w:t>
          </w:r>
        </w:sdtContent>
      </w:sdt>
      <w:bookmarkEnd w:id="1"/>
    </w:p>
    <w:p w14:paraId="637E3650" w14:textId="2E3659FE" w:rsidR="00085A74" w:rsidRPr="00D549A3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549A3">
        <w:rPr>
          <w:rFonts w:cs="Arial"/>
          <w:b/>
          <w:bCs/>
          <w:sz w:val="20"/>
          <w:szCs w:val="20"/>
        </w:rPr>
        <w:t>Tiekėjas</w:t>
      </w:r>
      <w:r w:rsidRPr="00D549A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549A3">
        <w:rPr>
          <w:rFonts w:cs="Arial"/>
          <w:sz w:val="20"/>
          <w:szCs w:val="20"/>
        </w:rPr>
        <w:t xml:space="preserve"> grupė.</w:t>
      </w:r>
      <w:r w:rsidR="00166AD8" w:rsidRPr="00D549A3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549A3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549A3">
        <w:rPr>
          <w:rFonts w:cs="Arial"/>
          <w:b/>
          <w:sz w:val="20"/>
          <w:szCs w:val="20"/>
        </w:rPr>
        <w:t>Sutartis</w:t>
      </w:r>
      <w:r w:rsidRPr="00D549A3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D549A3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D549A3">
        <w:rPr>
          <w:rFonts w:cs="Arial"/>
          <w:b/>
          <w:sz w:val="20"/>
          <w:szCs w:val="20"/>
        </w:rPr>
        <w:t>PIRKIMO OBJEKTAS</w:t>
      </w:r>
    </w:p>
    <w:p w14:paraId="32A60B01" w14:textId="25F9F6F7" w:rsidR="00CE17F8" w:rsidRPr="00D549A3" w:rsidRDefault="00E14E4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2" w:name="_Hlk57706075"/>
      <w:bookmarkStart w:id="3" w:name="_Hlk57705447"/>
      <w:bookmarkStart w:id="4" w:name="_Hlk57705244"/>
      <w:r w:rsidRPr="00D549A3">
        <w:rPr>
          <w:rFonts w:cs="Arial"/>
          <w:bCs/>
          <w:sz w:val="20"/>
          <w:szCs w:val="20"/>
        </w:rPr>
        <w:t xml:space="preserve">Pirkimo objektas </w:t>
      </w:r>
      <w:bookmarkEnd w:id="2"/>
      <w:r w:rsidRPr="00D549A3">
        <w:rPr>
          <w:rFonts w:cs="Arial"/>
          <w:bCs/>
          <w:sz w:val="20"/>
          <w:szCs w:val="20"/>
        </w:rPr>
        <w:t>–</w:t>
      </w:r>
      <w:bookmarkEnd w:id="3"/>
      <w:r w:rsidRPr="00D549A3">
        <w:rPr>
          <w:rFonts w:cs="Arial"/>
          <w:bCs/>
          <w:sz w:val="20"/>
          <w:szCs w:val="20"/>
        </w:rPr>
        <w:t xml:space="preserve"> </w:t>
      </w:r>
      <w:bookmarkEnd w:id="4"/>
      <w:r w:rsidRPr="00D549A3">
        <w:rPr>
          <w:rFonts w:cs="Arial"/>
          <w:bCs/>
          <w:sz w:val="20"/>
          <w:szCs w:val="20"/>
        </w:rPr>
        <w:t xml:space="preserve">Apskaitos paslaugos. </w:t>
      </w:r>
      <w:r w:rsidR="00085A74" w:rsidRPr="00D549A3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549A3">
        <w:rPr>
          <w:rFonts w:cs="Arial"/>
          <w:bCs/>
          <w:sz w:val="20"/>
          <w:szCs w:val="20"/>
        </w:rPr>
        <w:t xml:space="preserve"> ir 4 skyriuose</w:t>
      </w:r>
      <w:r w:rsidR="00085A74" w:rsidRPr="00D549A3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D549A3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D549A3">
        <w:rPr>
          <w:rFonts w:cs="Arial"/>
          <w:b/>
          <w:sz w:val="20"/>
          <w:szCs w:val="20"/>
        </w:rPr>
        <w:t>PIRKIMO OBJEKTO APIMTYS</w:t>
      </w:r>
    </w:p>
    <w:p w14:paraId="2CEABBA8" w14:textId="55C4E132" w:rsidR="004850CA" w:rsidRDefault="004850CA" w:rsidP="004850C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D549A3">
        <w:rPr>
          <w:rFonts w:cs="Arial"/>
          <w:bCs/>
          <w:sz w:val="20"/>
          <w:szCs w:val="20"/>
        </w:rPr>
        <w:t>Preliminarus Paslaugų kiekis (apimtis) išreiškiamas maksimali</w:t>
      </w:r>
      <w:r w:rsidR="00D868C6" w:rsidRPr="00D549A3">
        <w:rPr>
          <w:rFonts w:cs="Arial"/>
          <w:bCs/>
          <w:sz w:val="20"/>
          <w:szCs w:val="20"/>
        </w:rPr>
        <w:t>a</w:t>
      </w:r>
      <w:r w:rsidRPr="00D549A3">
        <w:rPr>
          <w:rFonts w:cs="Arial"/>
          <w:bCs/>
          <w:sz w:val="20"/>
          <w:szCs w:val="20"/>
        </w:rPr>
        <w:t xml:space="preserve"> pirkimui (sutarčiai) skirt</w:t>
      </w:r>
      <w:r w:rsidR="00D868C6" w:rsidRPr="00D549A3">
        <w:rPr>
          <w:rFonts w:cs="Arial"/>
          <w:bCs/>
          <w:sz w:val="20"/>
          <w:szCs w:val="20"/>
        </w:rPr>
        <w:t>a</w:t>
      </w:r>
      <w:r w:rsidRPr="00D549A3">
        <w:rPr>
          <w:rFonts w:cs="Arial"/>
          <w:bCs/>
          <w:sz w:val="20"/>
          <w:szCs w:val="20"/>
        </w:rPr>
        <w:t xml:space="preserve"> lėšų suma – </w:t>
      </w:r>
      <w:r w:rsidR="00843072" w:rsidRPr="00D549A3">
        <w:rPr>
          <w:rFonts w:cs="Arial"/>
          <w:bCs/>
          <w:sz w:val="20"/>
          <w:szCs w:val="20"/>
        </w:rPr>
        <w:t>80 000</w:t>
      </w:r>
      <w:r w:rsidRPr="00D549A3">
        <w:rPr>
          <w:rFonts w:cs="Arial"/>
          <w:bCs/>
          <w:sz w:val="20"/>
          <w:szCs w:val="20"/>
        </w:rPr>
        <w:t>,</w:t>
      </w:r>
      <w:r w:rsidR="00843072" w:rsidRPr="00D549A3">
        <w:rPr>
          <w:rFonts w:cs="Arial"/>
          <w:bCs/>
          <w:sz w:val="20"/>
          <w:szCs w:val="20"/>
        </w:rPr>
        <w:t>00</w:t>
      </w:r>
      <w:r w:rsidRPr="00D549A3">
        <w:rPr>
          <w:rFonts w:cs="Arial"/>
          <w:bCs/>
          <w:sz w:val="20"/>
          <w:szCs w:val="20"/>
        </w:rPr>
        <w:t xml:space="preserve"> EUR be PVM. Bendrovė turi teisę įsigyti Paslaugas pagal poreikį ir neįsipareigoja </w:t>
      </w:r>
      <w:r w:rsidR="00E14E46" w:rsidRPr="00D549A3">
        <w:rPr>
          <w:rFonts w:cs="Arial"/>
          <w:bCs/>
          <w:sz w:val="20"/>
          <w:szCs w:val="20"/>
        </w:rPr>
        <w:t>S</w:t>
      </w:r>
      <w:r w:rsidRPr="00D549A3">
        <w:rPr>
          <w:rFonts w:cs="Arial"/>
          <w:bCs/>
          <w:sz w:val="20"/>
          <w:szCs w:val="20"/>
        </w:rPr>
        <w:t>utarties vykdymo metu nupirkti viso Paslaugų</w:t>
      </w:r>
      <w:r w:rsidRPr="005C43BE">
        <w:rPr>
          <w:rFonts w:cs="Arial"/>
          <w:bCs/>
          <w:sz w:val="20"/>
          <w:szCs w:val="20"/>
        </w:rPr>
        <w:t xml:space="preserve">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23FBC977" w14:textId="7B77CA3B" w:rsidR="004B7553" w:rsidRPr="00F97E3A" w:rsidRDefault="00C46788" w:rsidP="00F97E3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D868C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ListParagraph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387241" w:rsidRPr="00051059" w14:paraId="5ACEF2D6" w14:textId="77777777" w:rsidTr="006A6116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387241" w:rsidRPr="00051059" w14:paraId="352A2A70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4E88DF" w14:textId="77777777" w:rsidR="00387241" w:rsidRPr="00E1029F" w:rsidDel="00C55AAE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E5A19E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3BEF4ED3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3F154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2DDED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70BDADD9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66AFC400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3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FF1B8C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D0CB1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ListParagraph"/>
        <w:rPr>
          <w:rFonts w:cs="Arial"/>
          <w:b/>
          <w:bCs/>
          <w:sz w:val="20"/>
          <w:szCs w:val="20"/>
        </w:rPr>
      </w:pPr>
    </w:p>
    <w:p w14:paraId="2BDD06CC" w14:textId="09757153" w:rsidR="00D82F42" w:rsidRPr="003E1F23" w:rsidRDefault="00D82F42" w:rsidP="00D868C6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Apskaitos</w:t>
      </w:r>
      <w:r w:rsidRPr="003E1F23">
        <w:rPr>
          <w:rFonts w:cs="Arial"/>
          <w:bCs/>
          <w:sz w:val="20"/>
          <w:szCs w:val="20"/>
        </w:rPr>
        <w:t xml:space="preserve"> 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0589E021" w:rsidR="00D82F42" w:rsidRDefault="00D82F42" w:rsidP="00D868C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14E46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5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5"/>
    </w:p>
    <w:p w14:paraId="6B5A43DF" w14:textId="0BA09E2C" w:rsidR="001512C3" w:rsidRPr="0090702B" w:rsidRDefault="00AA5063" w:rsidP="00477A4D">
      <w:pPr>
        <w:pStyle w:val="ListParagraph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Teikiamų </w:t>
      </w:r>
      <w:r w:rsidR="00D40ADF"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 paslaug</w:t>
      </w:r>
      <w:r w:rsidR="00D40ADF">
        <w:rPr>
          <w:rFonts w:cs="Arial"/>
          <w:b/>
          <w:sz w:val="20"/>
          <w:szCs w:val="20"/>
        </w:rPr>
        <w:t>ų detalizavimas</w:t>
      </w:r>
      <w:r w:rsidR="001512C3" w:rsidRPr="0090702B">
        <w:rPr>
          <w:rFonts w:cs="Arial"/>
          <w:b/>
          <w:sz w:val="20"/>
          <w:szCs w:val="20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94"/>
        <w:gridCol w:w="2490"/>
        <w:gridCol w:w="6662"/>
      </w:tblGrid>
      <w:tr w:rsidR="00880EC5" w:rsidRPr="004E7E96" w14:paraId="402D92A1" w14:textId="77777777" w:rsidTr="006A6116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DE9AA" w14:textId="33B5D014" w:rsidR="00880EC5" w:rsidRPr="00E1029F" w:rsidRDefault="00880EC5" w:rsidP="006A6116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0A01CF" w14:textId="77777777" w:rsidR="00880EC5" w:rsidRPr="00E1029F" w:rsidRDefault="00880EC5" w:rsidP="005C43B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F46759" w14:textId="77777777" w:rsidR="00880EC5" w:rsidRPr="00E1029F" w:rsidRDefault="00880EC5" w:rsidP="005C43B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880EC5" w:rsidRPr="004E7E96" w14:paraId="2BECE126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F076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B6E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3593EC5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9B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880EC5" w:rsidRPr="004E7E96" w14:paraId="0954B0DB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31B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1B2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4E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880EC5" w:rsidRPr="004E7E96" w14:paraId="0FC332D8" w14:textId="77777777" w:rsidTr="006A6116">
        <w:trPr>
          <w:trHeight w:val="19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15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D24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D1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880EC5" w:rsidRPr="004E7E96" w14:paraId="76A5092F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8240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32E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73C576D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16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880EC5" w:rsidRPr="004E7E96" w14:paraId="7A5EFFD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3EE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A38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8D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880EC5" w:rsidRPr="004E7E96" w14:paraId="29657052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98C5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7FC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80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880EC5" w:rsidRPr="004E7E96" w14:paraId="0BF7571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BC7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612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C3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banko programoje (Buhalteris / Vyr. buhalteris)</w:t>
            </w:r>
          </w:p>
        </w:tc>
      </w:tr>
      <w:tr w:rsidR="00880EC5" w:rsidRPr="004E7E96" w14:paraId="63DE7F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E71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5A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33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880EC5" w:rsidRPr="004E7E96" w14:paraId="60AFE595" w14:textId="77777777" w:rsidTr="006A6116">
        <w:trPr>
          <w:trHeight w:val="314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5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736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BF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880EC5" w:rsidRPr="004E7E96" w14:paraId="7EDC4242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751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1B9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B5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 (dalis proceso robotizuota) (Buhalteris / Vyr. buhalteris)</w:t>
            </w:r>
          </w:p>
        </w:tc>
      </w:tr>
      <w:tr w:rsidR="00880EC5" w:rsidRPr="004E7E96" w14:paraId="537697D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D0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1A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BC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 (be robotizavimo) (Buhalteris / Vyr. buhalteris)</w:t>
            </w:r>
          </w:p>
        </w:tc>
      </w:tr>
      <w:tr w:rsidR="00880EC5" w:rsidRPr="004E7E96" w14:paraId="7EE0BA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2D3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229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7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Apskaitos prietaisų (skaitiklių) apskaita (dujos ir elektra) (Buhalteris / Vyr. buhalteris)</w:t>
            </w:r>
          </w:p>
        </w:tc>
      </w:tr>
      <w:tr w:rsidR="00880EC5" w:rsidRPr="004E7E96" w14:paraId="39E0866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AD0B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B0C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880EC5" w:rsidRPr="004E7E96" w14:paraId="1881389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20A7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75A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22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880EC5" w:rsidRPr="004E7E96" w14:paraId="3110F8A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50DA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028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C9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880EC5" w:rsidRPr="004E7E96" w14:paraId="0EBD0E7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0077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B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5F3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880EC5" w:rsidRPr="004E7E96" w14:paraId="77E3ECFB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49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2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8E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880EC5" w:rsidRPr="004E7E96" w14:paraId="0AFB75B5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754A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E4C8" w14:textId="1D2D3E00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39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880EC5" w:rsidRPr="004E7E96" w14:paraId="57CE7B97" w14:textId="77777777" w:rsidTr="006A6116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7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ACA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0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880EC5" w:rsidRPr="004E7E96" w14:paraId="1625F139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433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973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C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880EC5" w:rsidRPr="004E7E96" w14:paraId="113ADD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3D7D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65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F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880EC5" w:rsidRPr="004E7E96" w14:paraId="06EC814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466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BEB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9F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robotizuotas procesas (Buhalteris / Vyr. buhalteris)</w:t>
            </w:r>
          </w:p>
        </w:tc>
      </w:tr>
      <w:tr w:rsidR="00880EC5" w:rsidRPr="004E7E96" w14:paraId="397BACC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E8D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6EF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02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880EC5" w:rsidRPr="004E7E96" w14:paraId="74348CA6" w14:textId="77777777" w:rsidTr="006A6116">
        <w:trPr>
          <w:trHeight w:val="291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17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D61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77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880EC5" w:rsidRPr="004E7E96" w14:paraId="4DEFF3BC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4AD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5EF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97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880EC5" w:rsidRPr="004E7E96" w14:paraId="5D6DE09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4B6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EC5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0DF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880EC5" w:rsidRPr="004E7E96" w14:paraId="1F39C50D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03C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0F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D1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880EC5" w:rsidRPr="004E7E96" w14:paraId="04DB6B34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359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A3F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64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880EC5" w:rsidRPr="004E7E96" w14:paraId="295EBFCD" w14:textId="77777777" w:rsidTr="006A6116">
        <w:trPr>
          <w:trHeight w:val="45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5D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AF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0F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880EC5" w:rsidRPr="004E7E96" w14:paraId="75C665B8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0E95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E46D" w14:textId="129F2CCA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A2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880EC5" w:rsidRPr="004E7E96" w14:paraId="5FE2532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929F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FF1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3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880EC5" w:rsidRPr="004E7E96" w14:paraId="1168254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3C4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A80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A9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(robotizuotas procesas) (Buhalteris / Vyr. buhalteris)</w:t>
            </w:r>
          </w:p>
        </w:tc>
      </w:tr>
      <w:tr w:rsidR="00880EC5" w:rsidRPr="004E7E96" w14:paraId="48E79BA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FB4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9E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6618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880EC5" w:rsidRPr="004E7E96" w14:paraId="6AE137E4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0C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CC9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FD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880EC5" w:rsidRPr="004E7E96" w14:paraId="4F748660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03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8E2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B5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880EC5" w:rsidRPr="004E7E96" w14:paraId="6A581B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E5C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8B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4C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880EC5" w:rsidRPr="004E7E96" w14:paraId="2AB6527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08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49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9E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880EC5" w:rsidRPr="004E7E96" w14:paraId="077A6DF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78ADC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0A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27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880EC5" w:rsidRPr="004E7E96" w14:paraId="12B6962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529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8B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FA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880EC5" w:rsidRPr="004E7E96" w14:paraId="2F24F5F6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C6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3F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F9F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880EC5" w:rsidRPr="004E7E96" w14:paraId="6CB5A1D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9C8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AA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D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880EC5" w:rsidRPr="004E7E96" w14:paraId="30F837E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95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9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C2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880EC5" w:rsidRPr="004E7E96" w14:paraId="5E1B6C7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BAD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1BD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C0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880EC5" w:rsidRPr="004E7E96" w14:paraId="1ECCE5C1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E34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658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590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lastRenderedPageBreak/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38A7" w14:textId="77777777" w:rsidR="003D3F10" w:rsidRDefault="003D3F10" w:rsidP="00427694">
      <w:r>
        <w:separator/>
      </w:r>
    </w:p>
  </w:endnote>
  <w:endnote w:type="continuationSeparator" w:id="0">
    <w:p w14:paraId="691A4EDB" w14:textId="77777777" w:rsidR="003D3F10" w:rsidRDefault="003D3F10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9AED5" w14:textId="77777777" w:rsidR="003D3F10" w:rsidRDefault="003D3F10" w:rsidP="00427694">
      <w:r>
        <w:separator/>
      </w:r>
    </w:p>
  </w:footnote>
  <w:footnote w:type="continuationSeparator" w:id="0">
    <w:p w14:paraId="040BBF16" w14:textId="77777777" w:rsidR="003D3F10" w:rsidRDefault="003D3F10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ED67D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3204aa4b3c87edd03f52f97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2A90880A" w:rsidR="002528BA" w:rsidRPr="00771E39" w:rsidRDefault="00771E39" w:rsidP="00771E39">
                          <w:pPr>
                            <w:jc w:val="right"/>
                            <w:rPr>
                              <w:rFonts w:cs="Arial"/>
                              <w:color w:val="000000"/>
                              <w:sz w:val="20"/>
                            </w:rPr>
                          </w:pPr>
                          <w:r w:rsidRPr="00771E39">
                            <w:rPr>
                              <w:rFonts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93204aa4b3c87edd03f52f97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cISWzQADAABX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2A90880A" w:rsidR="002528BA" w:rsidRPr="00771E39" w:rsidRDefault="00771E39" w:rsidP="00771E39">
                    <w:pPr>
                      <w:jc w:val="right"/>
                      <w:rPr>
                        <w:rFonts w:cs="Arial"/>
                        <w:color w:val="000000"/>
                        <w:sz w:val="20"/>
                      </w:rPr>
                    </w:pPr>
                    <w:r w:rsidRPr="00771E39">
                      <w:rPr>
                        <w:rFonts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0E64E0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A3753"/>
    <w:rsid w:val="003B7542"/>
    <w:rsid w:val="003C19B1"/>
    <w:rsid w:val="003C7376"/>
    <w:rsid w:val="003D043D"/>
    <w:rsid w:val="003D3F10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71E39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43072"/>
    <w:rsid w:val="00861FCC"/>
    <w:rsid w:val="00876051"/>
    <w:rsid w:val="00880EC5"/>
    <w:rsid w:val="00890A6E"/>
    <w:rsid w:val="008A3AD9"/>
    <w:rsid w:val="008B3991"/>
    <w:rsid w:val="008C03B9"/>
    <w:rsid w:val="008C1B7A"/>
    <w:rsid w:val="008C4C68"/>
    <w:rsid w:val="008C77B1"/>
    <w:rsid w:val="008D228E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549A3"/>
    <w:rsid w:val="00D621A5"/>
    <w:rsid w:val="00D64C94"/>
    <w:rsid w:val="00D76C16"/>
    <w:rsid w:val="00D82F42"/>
    <w:rsid w:val="00D868C6"/>
    <w:rsid w:val="00D977E6"/>
    <w:rsid w:val="00DA5BA1"/>
    <w:rsid w:val="00DA73BD"/>
    <w:rsid w:val="00DA7C21"/>
    <w:rsid w:val="00DB4387"/>
    <w:rsid w:val="00DB4DEC"/>
    <w:rsid w:val="00DC557E"/>
    <w:rsid w:val="00DE6560"/>
    <w:rsid w:val="00E05EAD"/>
    <w:rsid w:val="00E14E46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7211E7796D48D586130365CC39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F049-30AE-42BA-84A3-1DF442F48AA0}"/>
      </w:docPartPr>
      <w:docPartBody>
        <w:p w:rsidR="00A61121" w:rsidRDefault="007F5B78" w:rsidP="007F5B78">
          <w:pPr>
            <w:pStyle w:val="6C7211E7796D48D586130365CC39740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B7CE1"/>
    <w:rsid w:val="007F5B78"/>
    <w:rsid w:val="00A61121"/>
    <w:rsid w:val="00C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7211E7796D48D586130365CC39740C">
    <w:name w:val="6C7211E7796D48D586130365CC39740C"/>
    <w:rsid w:val="007F5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3CC0-8C17-497B-A44F-D988F4564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sharepoint/v3"/>
    <ds:schemaRef ds:uri="http://schemas.microsoft.com/sharepoint/v4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9f4913f-3272-4a22-9ace-61684833bf0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565B61-6FAE-4DDE-BD50-5F690103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4007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Gintarė Guobytė</cp:lastModifiedBy>
  <cp:revision>9</cp:revision>
  <dcterms:created xsi:type="dcterms:W3CDTF">2020-11-25T10:00:00Z</dcterms:created>
  <dcterms:modified xsi:type="dcterms:W3CDTF">2021-01-12T14:33:00Z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d916b46-673e-4e6b-9b1a-01a4679461ce_Enabled">
    <vt:lpwstr>True</vt:lpwstr>
  </property>
  <property fmtid="{D5CDD505-2E9C-101B-9397-08002B2CF9AE}" pid="4" name="MSIP_Label_3d916b46-673e-4e6b-9b1a-01a4679461ce_SiteId">
    <vt:lpwstr>ea88e983-d65a-47b3-adb4-3e1c6d2110d2</vt:lpwstr>
  </property>
  <property fmtid="{D5CDD505-2E9C-101B-9397-08002B2CF9AE}" pid="5" name="MSIP_Label_3d916b46-673e-4e6b-9b1a-01a4679461ce_Owner">
    <vt:lpwstr>Gintare.Guobyte@ignitis.lt</vt:lpwstr>
  </property>
  <property fmtid="{D5CDD505-2E9C-101B-9397-08002B2CF9AE}" pid="6" name="MSIP_Label_3d916b46-673e-4e6b-9b1a-01a4679461ce_SetDate">
    <vt:lpwstr>2021-01-12T14:33:46.7408456Z</vt:lpwstr>
  </property>
  <property fmtid="{D5CDD505-2E9C-101B-9397-08002B2CF9AE}" pid="7" name="MSIP_Label_3d916b46-673e-4e6b-9b1a-01a4679461ce_Name">
    <vt:lpwstr>Skirta adresatui</vt:lpwstr>
  </property>
  <property fmtid="{D5CDD505-2E9C-101B-9397-08002B2CF9AE}" pid="8" name="MSIP_Label_3d916b46-673e-4e6b-9b1a-01a4679461ce_Application">
    <vt:lpwstr>Microsoft Azure Information Protection</vt:lpwstr>
  </property>
  <property fmtid="{D5CDD505-2E9C-101B-9397-08002B2CF9AE}" pid="9" name="MSIP_Label_3d916b46-673e-4e6b-9b1a-01a4679461ce_ActionId">
    <vt:lpwstr>7f3b3abf-6c2c-4e9f-b806-014cad68660e</vt:lpwstr>
  </property>
  <property fmtid="{D5CDD505-2E9C-101B-9397-08002B2CF9AE}" pid="10" name="MSIP_Label_3d916b46-673e-4e6b-9b1a-01a4679461ce_Extended_MSFT_Method">
    <vt:lpwstr>Manual</vt:lpwstr>
  </property>
  <property fmtid="{D5CDD505-2E9C-101B-9397-08002B2CF9AE}" pid="11" name="MSIP_Label_4967f987-646f-4bf0-adb6-9f30b29cd8ee_Enabled">
    <vt:lpwstr>True</vt:lpwstr>
  </property>
  <property fmtid="{D5CDD505-2E9C-101B-9397-08002B2CF9AE}" pid="12" name="MSIP_Label_4967f987-646f-4bf0-adb6-9f30b29cd8ee_SiteId">
    <vt:lpwstr>ea88e983-d65a-47b3-adb4-3e1c6d2110d2</vt:lpwstr>
  </property>
  <property fmtid="{D5CDD505-2E9C-101B-9397-08002B2CF9AE}" pid="13" name="MSIP_Label_4967f987-646f-4bf0-adb6-9f30b29cd8ee_Owner">
    <vt:lpwstr>Gintare.Guobyte@ignitis.lt</vt:lpwstr>
  </property>
  <property fmtid="{D5CDD505-2E9C-101B-9397-08002B2CF9AE}" pid="14" name="MSIP_Label_4967f987-646f-4bf0-adb6-9f30b29cd8ee_SetDate">
    <vt:lpwstr>2021-01-12T14:33:46.7408456Z</vt:lpwstr>
  </property>
  <property fmtid="{D5CDD505-2E9C-101B-9397-08002B2CF9AE}" pid="15" name="MSIP_Label_4967f987-646f-4bf0-adb6-9f30b29cd8ee_Name">
    <vt:lpwstr>Skirta adresatui</vt:lpwstr>
  </property>
  <property fmtid="{D5CDD505-2E9C-101B-9397-08002B2CF9AE}" pid="16" name="MSIP_Label_4967f987-646f-4bf0-adb6-9f30b29cd8ee_Application">
    <vt:lpwstr>Microsoft Azure Information Protection</vt:lpwstr>
  </property>
  <property fmtid="{D5CDD505-2E9C-101B-9397-08002B2CF9AE}" pid="17" name="MSIP_Label_4967f987-646f-4bf0-adb6-9f30b29cd8ee_ActionId">
    <vt:lpwstr>7f3b3abf-6c2c-4e9f-b806-014cad68660e</vt:lpwstr>
  </property>
  <property fmtid="{D5CDD505-2E9C-101B-9397-08002B2CF9AE}" pid="18" name="MSIP_Label_4967f987-646f-4bf0-adb6-9f30b29cd8ee_Parent">
    <vt:lpwstr>3d916b46-673e-4e6b-9b1a-01a4679461ce</vt:lpwstr>
  </property>
  <property fmtid="{D5CDD505-2E9C-101B-9397-08002B2CF9AE}" pid="19" name="MSIP_Label_4967f987-646f-4bf0-adb6-9f30b29cd8ee_Extended_MSFT_Method">
    <vt:lpwstr>Manual</vt:lpwstr>
  </property>
  <property fmtid="{D5CDD505-2E9C-101B-9397-08002B2CF9AE}" pid="20" name="Sensitivity">
    <vt:lpwstr>Skirta adresatui Skirta adresatui</vt:lpwstr>
  </property>
</Properties>
</file>