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565"/>
        <w:gridCol w:w="6653"/>
        <w:gridCol w:w="7346"/>
      </w:tblGrid>
      <w:tr w:rsidR="008C693C" w:rsidRPr="00C518E3" w14:paraId="22D5C5D2" w14:textId="77777777" w:rsidTr="00D07A94">
        <w:tc>
          <w:tcPr>
            <w:tcW w:w="2478" w:type="pct"/>
            <w:gridSpan w:val="2"/>
            <w:tcBorders>
              <w:top w:val="single" w:sz="2" w:space="0" w:color="FFFFFF"/>
              <w:left w:val="single" w:sz="2" w:space="0" w:color="FFFFFF"/>
              <w:bottom w:val="single" w:sz="2" w:space="0" w:color="FFFFFF" w:themeColor="background1"/>
              <w:right w:val="single" w:sz="2" w:space="0" w:color="FFFFFF" w:themeColor="background1"/>
            </w:tcBorders>
            <w:vAlign w:val="center"/>
          </w:tcPr>
          <w:p w14:paraId="77454BC9" w14:textId="58514D28" w:rsidR="008C693C" w:rsidRPr="00C518E3" w:rsidRDefault="00C518E3" w:rsidP="00EC6503">
            <w:pPr>
              <w:spacing w:line="360" w:lineRule="auto"/>
              <w:jc w:val="center"/>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00F47A64" w:rsidRPr="00C518E3">
              <w:rPr>
                <w:rFonts w:ascii="Arial" w:hAnsi="Arial" w:cs="Arial"/>
                <w:b/>
                <w:bCs/>
                <w:color w:val="000000" w:themeColor="text1"/>
                <w:sz w:val="20"/>
                <w:szCs w:val="20"/>
              </w:rPr>
              <w:t>TECHNINĖ SPECIFIKACIJA</w:t>
            </w:r>
          </w:p>
        </w:tc>
        <w:tc>
          <w:tcPr>
            <w:tcW w:w="2522"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8795C46" w14:textId="0C0A0E23" w:rsidR="008C693C" w:rsidRPr="00C518E3" w:rsidRDefault="00F47A64" w:rsidP="00EC6503">
            <w:pPr>
              <w:pStyle w:val="Subtitle"/>
              <w:spacing w:line="360" w:lineRule="auto"/>
              <w:jc w:val="center"/>
              <w:rPr>
                <w:rFonts w:ascii="Arial" w:hAnsi="Arial" w:cs="Arial"/>
                <w:b/>
                <w:bCs/>
                <w:color w:val="000000" w:themeColor="text1"/>
                <w:sz w:val="20"/>
                <w:szCs w:val="20"/>
                <w:u w:val="none"/>
                <w:lang w:val="en-GB"/>
              </w:rPr>
            </w:pPr>
            <w:r w:rsidRPr="00C518E3">
              <w:rPr>
                <w:rFonts w:ascii="Arial" w:hAnsi="Arial" w:cs="Arial"/>
                <w:b/>
                <w:bCs/>
                <w:color w:val="000000" w:themeColor="text1"/>
                <w:sz w:val="20"/>
                <w:szCs w:val="20"/>
                <w:u w:val="none"/>
                <w:lang w:val="en-GB"/>
              </w:rPr>
              <w:t>TECHNICAL SPECIFICATION</w:t>
            </w:r>
          </w:p>
        </w:tc>
      </w:tr>
      <w:tr w:rsidR="008C6AFA" w:rsidRPr="00C518E3" w14:paraId="0F7274FA" w14:textId="77777777" w:rsidTr="00C518E3">
        <w:tc>
          <w:tcPr>
            <w:tcW w:w="194" w:type="pct"/>
            <w:vAlign w:val="center"/>
          </w:tcPr>
          <w:p w14:paraId="3DB3B4F1" w14:textId="6E6050CF" w:rsidR="008C6AFA" w:rsidRPr="00C518E3" w:rsidRDefault="008C6AFA" w:rsidP="00BD2DA2">
            <w:pPr>
              <w:spacing w:line="276" w:lineRule="auto"/>
              <w:jc w:val="center"/>
              <w:rPr>
                <w:rFonts w:ascii="Arial" w:hAnsi="Arial" w:cs="Arial"/>
                <w:b/>
                <w:bCs/>
                <w:sz w:val="20"/>
                <w:szCs w:val="20"/>
              </w:rPr>
            </w:pPr>
            <w:r w:rsidRPr="00C518E3">
              <w:rPr>
                <w:rFonts w:ascii="Arial" w:hAnsi="Arial" w:cs="Arial"/>
                <w:b/>
                <w:bCs/>
                <w:sz w:val="20"/>
                <w:szCs w:val="20"/>
              </w:rPr>
              <w:t>1.</w:t>
            </w:r>
          </w:p>
        </w:tc>
        <w:tc>
          <w:tcPr>
            <w:tcW w:w="2284" w:type="pct"/>
          </w:tcPr>
          <w:p w14:paraId="323165F5" w14:textId="21856285" w:rsidR="008C6AFA" w:rsidRPr="00C518E3" w:rsidRDefault="00F47A64" w:rsidP="00BD2DA2">
            <w:pPr>
              <w:spacing w:line="276" w:lineRule="auto"/>
              <w:jc w:val="center"/>
              <w:rPr>
                <w:rFonts w:ascii="Arial" w:hAnsi="Arial" w:cs="Arial"/>
                <w:sz w:val="20"/>
                <w:szCs w:val="20"/>
              </w:rPr>
            </w:pPr>
            <w:r w:rsidRPr="00C518E3">
              <w:rPr>
                <w:rFonts w:ascii="Arial" w:hAnsi="Arial" w:cs="Arial"/>
                <w:b/>
                <w:bCs/>
                <w:sz w:val="20"/>
                <w:szCs w:val="20"/>
              </w:rPr>
              <w:t>Informacija apie perkamą prekę:</w:t>
            </w:r>
          </w:p>
        </w:tc>
        <w:tc>
          <w:tcPr>
            <w:tcW w:w="2522" w:type="pct"/>
            <w:vAlign w:val="center"/>
          </w:tcPr>
          <w:p w14:paraId="2C212AC4" w14:textId="761EBCFF" w:rsidR="008C6AFA" w:rsidRPr="00C518E3" w:rsidRDefault="00F47A64" w:rsidP="00BD2DA2">
            <w:pPr>
              <w:spacing w:line="276" w:lineRule="auto"/>
              <w:jc w:val="center"/>
              <w:rPr>
                <w:rFonts w:ascii="Arial" w:hAnsi="Arial" w:cs="Arial"/>
                <w:sz w:val="20"/>
                <w:szCs w:val="20"/>
              </w:rPr>
            </w:pPr>
            <w:proofErr w:type="spellStart"/>
            <w:r w:rsidRPr="00C518E3">
              <w:rPr>
                <w:rFonts w:ascii="Arial" w:hAnsi="Arial" w:cs="Arial"/>
                <w:b/>
                <w:sz w:val="20"/>
                <w:szCs w:val="20"/>
              </w:rPr>
              <w:t>Information</w:t>
            </w:r>
            <w:proofErr w:type="spellEnd"/>
            <w:r w:rsidRPr="00C518E3">
              <w:rPr>
                <w:rFonts w:ascii="Arial" w:hAnsi="Arial" w:cs="Arial"/>
                <w:b/>
                <w:sz w:val="20"/>
                <w:szCs w:val="20"/>
              </w:rPr>
              <w:t xml:space="preserve"> </w:t>
            </w:r>
            <w:proofErr w:type="spellStart"/>
            <w:r w:rsidRPr="00C518E3">
              <w:rPr>
                <w:rFonts w:ascii="Arial" w:hAnsi="Arial" w:cs="Arial"/>
                <w:b/>
                <w:sz w:val="20"/>
                <w:szCs w:val="20"/>
              </w:rPr>
              <w:t>about</w:t>
            </w:r>
            <w:proofErr w:type="spellEnd"/>
            <w:r w:rsidRPr="00C518E3">
              <w:rPr>
                <w:rFonts w:ascii="Arial" w:hAnsi="Arial" w:cs="Arial"/>
                <w:b/>
                <w:sz w:val="20"/>
                <w:szCs w:val="20"/>
              </w:rPr>
              <w:t xml:space="preserve"> </w:t>
            </w:r>
            <w:proofErr w:type="spellStart"/>
            <w:r w:rsidRPr="00C518E3">
              <w:rPr>
                <w:rFonts w:ascii="Arial" w:hAnsi="Arial" w:cs="Arial"/>
                <w:b/>
                <w:sz w:val="20"/>
                <w:szCs w:val="20"/>
              </w:rPr>
              <w:t>purchasable</w:t>
            </w:r>
            <w:proofErr w:type="spellEnd"/>
            <w:r w:rsidRPr="00C518E3">
              <w:rPr>
                <w:rFonts w:ascii="Arial" w:hAnsi="Arial" w:cs="Arial"/>
                <w:b/>
                <w:sz w:val="20"/>
                <w:szCs w:val="20"/>
              </w:rPr>
              <w:t xml:space="preserve"> </w:t>
            </w:r>
            <w:proofErr w:type="spellStart"/>
            <w:r w:rsidRPr="00C518E3">
              <w:rPr>
                <w:rFonts w:ascii="Arial" w:hAnsi="Arial" w:cs="Arial"/>
                <w:b/>
                <w:sz w:val="20"/>
                <w:szCs w:val="20"/>
              </w:rPr>
              <w:t>goods</w:t>
            </w:r>
            <w:proofErr w:type="spellEnd"/>
            <w:r w:rsidRPr="00C518E3">
              <w:rPr>
                <w:rFonts w:ascii="Arial" w:hAnsi="Arial" w:cs="Arial"/>
                <w:b/>
                <w:sz w:val="20"/>
                <w:szCs w:val="20"/>
              </w:rPr>
              <w:t>:</w:t>
            </w:r>
          </w:p>
        </w:tc>
      </w:tr>
      <w:tr w:rsidR="008C6AFA" w:rsidRPr="00C518E3" w14:paraId="4731A4CB" w14:textId="77777777" w:rsidTr="00C518E3">
        <w:trPr>
          <w:trHeight w:val="70"/>
        </w:trPr>
        <w:tc>
          <w:tcPr>
            <w:tcW w:w="194" w:type="pct"/>
            <w:vAlign w:val="center"/>
          </w:tcPr>
          <w:p w14:paraId="2F74C59E" w14:textId="5AC7E6AC" w:rsidR="008C6AFA" w:rsidRPr="00C518E3" w:rsidRDefault="008C6AFA" w:rsidP="00BD2DA2">
            <w:pPr>
              <w:spacing w:line="276" w:lineRule="auto"/>
              <w:jc w:val="center"/>
              <w:rPr>
                <w:rFonts w:ascii="Arial" w:hAnsi="Arial" w:cs="Arial"/>
                <w:sz w:val="20"/>
                <w:szCs w:val="20"/>
              </w:rPr>
            </w:pPr>
            <w:r w:rsidRPr="00C518E3">
              <w:rPr>
                <w:rFonts w:ascii="Arial" w:hAnsi="Arial" w:cs="Arial"/>
                <w:sz w:val="20"/>
                <w:szCs w:val="20"/>
              </w:rPr>
              <w:t>1.1.</w:t>
            </w:r>
          </w:p>
        </w:tc>
        <w:tc>
          <w:tcPr>
            <w:tcW w:w="2284" w:type="pct"/>
            <w:vAlign w:val="center"/>
          </w:tcPr>
          <w:p w14:paraId="2DCE0B34" w14:textId="64814769" w:rsidR="008C6AFA" w:rsidRPr="00C518E3" w:rsidRDefault="00F47A64" w:rsidP="00EC6503">
            <w:pPr>
              <w:pStyle w:val="ListParagraph"/>
              <w:tabs>
                <w:tab w:val="left" w:pos="142"/>
                <w:tab w:val="left" w:pos="426"/>
              </w:tabs>
              <w:spacing w:after="240" w:line="276" w:lineRule="auto"/>
              <w:ind w:left="0"/>
              <w:jc w:val="both"/>
              <w:rPr>
                <w:rFonts w:ascii="Arial" w:hAnsi="Arial" w:cs="Arial"/>
                <w:sz w:val="20"/>
                <w:szCs w:val="20"/>
              </w:rPr>
            </w:pPr>
            <w:r w:rsidRPr="00C518E3">
              <w:rPr>
                <w:rFonts w:ascii="Arial" w:hAnsi="Arial" w:cs="Arial"/>
                <w:sz w:val="20"/>
                <w:szCs w:val="20"/>
              </w:rPr>
              <w:t>400 kV skyriklis (toliau – Prekė).</w:t>
            </w:r>
          </w:p>
        </w:tc>
        <w:tc>
          <w:tcPr>
            <w:tcW w:w="2522" w:type="pct"/>
            <w:vAlign w:val="center"/>
          </w:tcPr>
          <w:p w14:paraId="54908455" w14:textId="77E2403F" w:rsidR="008C6AFA" w:rsidRPr="00C518E3" w:rsidRDefault="00F47A64" w:rsidP="00EC6503">
            <w:pPr>
              <w:pStyle w:val="ListParagraph"/>
              <w:tabs>
                <w:tab w:val="left" w:pos="142"/>
                <w:tab w:val="left" w:pos="426"/>
              </w:tabs>
              <w:spacing w:line="276" w:lineRule="auto"/>
              <w:ind w:left="0"/>
              <w:jc w:val="both"/>
              <w:rPr>
                <w:rFonts w:ascii="Arial" w:hAnsi="Arial" w:cs="Arial"/>
                <w:sz w:val="20"/>
                <w:szCs w:val="20"/>
                <w:lang w:val="en-GB"/>
              </w:rPr>
            </w:pPr>
            <w:r w:rsidRPr="00C518E3">
              <w:rPr>
                <w:rFonts w:ascii="Arial" w:hAnsi="Arial" w:cs="Arial"/>
                <w:sz w:val="20"/>
                <w:szCs w:val="20"/>
              </w:rPr>
              <w:t xml:space="preserve">400 </w:t>
            </w:r>
            <w:proofErr w:type="spellStart"/>
            <w:r w:rsidRPr="00C518E3">
              <w:rPr>
                <w:rFonts w:ascii="Arial" w:hAnsi="Arial" w:cs="Arial"/>
                <w:sz w:val="20"/>
                <w:szCs w:val="20"/>
              </w:rPr>
              <w:t>kV</w:t>
            </w:r>
            <w:proofErr w:type="spellEnd"/>
            <w:r w:rsidRPr="00C518E3">
              <w:rPr>
                <w:rFonts w:ascii="Arial" w:hAnsi="Arial" w:cs="Arial"/>
                <w:sz w:val="20"/>
                <w:szCs w:val="20"/>
              </w:rPr>
              <w:t xml:space="preserve"> </w:t>
            </w:r>
            <w:proofErr w:type="spellStart"/>
            <w:r w:rsidRPr="00C518E3">
              <w:rPr>
                <w:rFonts w:ascii="Arial" w:hAnsi="Arial" w:cs="Arial"/>
                <w:sz w:val="20"/>
                <w:szCs w:val="20"/>
              </w:rPr>
              <w:t>disconnector</w:t>
            </w:r>
            <w:proofErr w:type="spellEnd"/>
            <w:r w:rsidRPr="00C518E3">
              <w:rPr>
                <w:rFonts w:ascii="Arial" w:hAnsi="Arial" w:cs="Arial"/>
                <w:sz w:val="20"/>
                <w:szCs w:val="20"/>
              </w:rPr>
              <w:t xml:space="preserve"> (</w:t>
            </w:r>
            <w:proofErr w:type="spellStart"/>
            <w:r w:rsidRPr="00C518E3">
              <w:rPr>
                <w:rFonts w:ascii="Arial" w:hAnsi="Arial" w:cs="Arial"/>
                <w:sz w:val="20"/>
                <w:szCs w:val="20"/>
              </w:rPr>
              <w:t>hereinafter</w:t>
            </w:r>
            <w:proofErr w:type="spellEnd"/>
            <w:r w:rsidRPr="00C518E3">
              <w:rPr>
                <w:rFonts w:ascii="Arial" w:hAnsi="Arial" w:cs="Arial"/>
                <w:sz w:val="20"/>
                <w:szCs w:val="20"/>
              </w:rPr>
              <w:t xml:space="preserve"> – </w:t>
            </w:r>
            <w:proofErr w:type="spellStart"/>
            <w:r w:rsidRPr="00C518E3">
              <w:rPr>
                <w:rFonts w:ascii="Arial" w:hAnsi="Arial" w:cs="Arial"/>
                <w:sz w:val="20"/>
                <w:szCs w:val="20"/>
              </w:rPr>
              <w:t>Goods</w:t>
            </w:r>
            <w:proofErr w:type="spellEnd"/>
            <w:r w:rsidRPr="00C518E3">
              <w:rPr>
                <w:rFonts w:ascii="Arial" w:hAnsi="Arial" w:cs="Arial"/>
                <w:sz w:val="20"/>
                <w:szCs w:val="20"/>
              </w:rPr>
              <w:t xml:space="preserve">). </w:t>
            </w:r>
          </w:p>
        </w:tc>
      </w:tr>
      <w:tr w:rsidR="008C6AFA" w:rsidRPr="00C518E3" w14:paraId="581E67BD" w14:textId="77777777" w:rsidTr="00C518E3">
        <w:tc>
          <w:tcPr>
            <w:tcW w:w="194" w:type="pct"/>
            <w:vAlign w:val="center"/>
          </w:tcPr>
          <w:p w14:paraId="243B5B54" w14:textId="768063CA" w:rsidR="008C6AFA" w:rsidRPr="00C518E3" w:rsidRDefault="008C6AFA" w:rsidP="00BD2DA2">
            <w:pPr>
              <w:spacing w:line="276" w:lineRule="auto"/>
              <w:jc w:val="center"/>
              <w:rPr>
                <w:rFonts w:ascii="Arial" w:hAnsi="Arial" w:cs="Arial"/>
                <w:sz w:val="20"/>
                <w:szCs w:val="20"/>
              </w:rPr>
            </w:pPr>
            <w:r w:rsidRPr="00C518E3">
              <w:rPr>
                <w:rFonts w:ascii="Arial" w:hAnsi="Arial" w:cs="Arial"/>
                <w:sz w:val="20"/>
                <w:szCs w:val="20"/>
              </w:rPr>
              <w:t>1.2.</w:t>
            </w:r>
          </w:p>
        </w:tc>
        <w:tc>
          <w:tcPr>
            <w:tcW w:w="2284" w:type="pct"/>
            <w:vAlign w:val="center"/>
          </w:tcPr>
          <w:p w14:paraId="142B74CB" w14:textId="32F106FF" w:rsidR="008C6AFA" w:rsidRPr="00C518E3" w:rsidRDefault="00F47A64" w:rsidP="00EC6503">
            <w:pPr>
              <w:spacing w:line="276" w:lineRule="auto"/>
              <w:jc w:val="both"/>
              <w:rPr>
                <w:rFonts w:ascii="Arial" w:hAnsi="Arial" w:cs="Arial"/>
                <w:sz w:val="20"/>
                <w:szCs w:val="20"/>
              </w:rPr>
            </w:pPr>
            <w:r w:rsidRPr="00C518E3">
              <w:rPr>
                <w:rFonts w:ascii="Arial" w:hAnsi="Arial" w:cs="Arial"/>
                <w:sz w:val="20"/>
                <w:szCs w:val="20"/>
              </w:rPr>
              <w:t>Perkamas kiekis: 1 trijų fazių komplektas.</w:t>
            </w:r>
          </w:p>
        </w:tc>
        <w:tc>
          <w:tcPr>
            <w:tcW w:w="2522" w:type="pct"/>
            <w:vAlign w:val="center"/>
          </w:tcPr>
          <w:p w14:paraId="622C49F7" w14:textId="56A1D7E2" w:rsidR="008C6AFA" w:rsidRPr="00C518E3" w:rsidRDefault="00F47A64" w:rsidP="00EC6503">
            <w:pPr>
              <w:pStyle w:val="ListParagraph"/>
              <w:tabs>
                <w:tab w:val="left" w:pos="426"/>
              </w:tabs>
              <w:spacing w:line="276" w:lineRule="auto"/>
              <w:ind w:left="0"/>
              <w:jc w:val="both"/>
              <w:rPr>
                <w:rFonts w:ascii="Arial" w:hAnsi="Arial" w:cs="Arial"/>
                <w:sz w:val="20"/>
                <w:szCs w:val="20"/>
                <w:lang w:val="en-GB"/>
              </w:rPr>
            </w:pPr>
            <w:r w:rsidRPr="00C518E3">
              <w:rPr>
                <w:rFonts w:ascii="Arial" w:hAnsi="Arial" w:cs="Arial"/>
                <w:sz w:val="20"/>
                <w:szCs w:val="20"/>
                <w:lang w:val="en-GB"/>
              </w:rPr>
              <w:t xml:space="preserve">Purchasable quantity: 1 </w:t>
            </w:r>
            <w:proofErr w:type="spellStart"/>
            <w:r w:rsidRPr="00C518E3">
              <w:rPr>
                <w:rFonts w:ascii="Arial" w:hAnsi="Arial" w:cs="Arial"/>
                <w:sz w:val="20"/>
                <w:szCs w:val="20"/>
              </w:rPr>
              <w:t>three-phase</w:t>
            </w:r>
            <w:proofErr w:type="spellEnd"/>
            <w:r w:rsidRPr="00C518E3">
              <w:rPr>
                <w:rFonts w:ascii="Arial" w:hAnsi="Arial" w:cs="Arial"/>
                <w:sz w:val="20"/>
                <w:szCs w:val="20"/>
              </w:rPr>
              <w:t xml:space="preserve"> </w:t>
            </w:r>
            <w:proofErr w:type="spellStart"/>
            <w:r w:rsidRPr="00C518E3">
              <w:rPr>
                <w:rFonts w:ascii="Arial" w:hAnsi="Arial" w:cs="Arial"/>
                <w:sz w:val="20"/>
                <w:szCs w:val="20"/>
              </w:rPr>
              <w:t>set</w:t>
            </w:r>
            <w:proofErr w:type="spellEnd"/>
            <w:r w:rsidRPr="00C518E3">
              <w:rPr>
                <w:rFonts w:ascii="Arial" w:hAnsi="Arial" w:cs="Arial"/>
                <w:sz w:val="20"/>
                <w:szCs w:val="20"/>
              </w:rPr>
              <w:t>.</w:t>
            </w:r>
          </w:p>
        </w:tc>
      </w:tr>
      <w:tr w:rsidR="008C6AFA" w:rsidRPr="00C518E3" w14:paraId="5F65925A" w14:textId="77777777" w:rsidTr="00C518E3">
        <w:tc>
          <w:tcPr>
            <w:tcW w:w="194" w:type="pct"/>
            <w:vAlign w:val="center"/>
          </w:tcPr>
          <w:p w14:paraId="217EA3CA" w14:textId="312F9F79" w:rsidR="008C6AFA" w:rsidRPr="00C518E3" w:rsidRDefault="008C6AFA" w:rsidP="00BD2DA2">
            <w:pPr>
              <w:spacing w:line="276" w:lineRule="auto"/>
              <w:jc w:val="center"/>
              <w:rPr>
                <w:rFonts w:ascii="Arial" w:hAnsi="Arial" w:cs="Arial"/>
                <w:sz w:val="20"/>
                <w:szCs w:val="20"/>
              </w:rPr>
            </w:pPr>
            <w:r w:rsidRPr="00C518E3">
              <w:rPr>
                <w:rFonts w:ascii="Arial" w:hAnsi="Arial" w:cs="Arial"/>
                <w:sz w:val="20"/>
                <w:szCs w:val="20"/>
              </w:rPr>
              <w:t>1.3.</w:t>
            </w:r>
          </w:p>
        </w:tc>
        <w:tc>
          <w:tcPr>
            <w:tcW w:w="2284" w:type="pct"/>
            <w:vAlign w:val="center"/>
          </w:tcPr>
          <w:p w14:paraId="125E45F7" w14:textId="27813B40" w:rsidR="008C6AFA" w:rsidRPr="00C518E3" w:rsidRDefault="00D07A94" w:rsidP="00EC6503">
            <w:pPr>
              <w:spacing w:line="276" w:lineRule="auto"/>
              <w:jc w:val="both"/>
              <w:rPr>
                <w:rFonts w:ascii="Arial" w:hAnsi="Arial" w:cs="Arial"/>
                <w:sz w:val="20"/>
                <w:szCs w:val="20"/>
              </w:rPr>
            </w:pPr>
            <w:r w:rsidRPr="00C518E3">
              <w:rPr>
                <w:rFonts w:ascii="Arial" w:hAnsi="Arial" w:cs="Arial"/>
                <w:sz w:val="20"/>
                <w:szCs w:val="20"/>
              </w:rPr>
              <w:t>P</w:t>
            </w:r>
            <w:r w:rsidR="00F47A64" w:rsidRPr="00C518E3">
              <w:rPr>
                <w:rFonts w:ascii="Arial" w:hAnsi="Arial" w:cs="Arial"/>
                <w:sz w:val="20"/>
                <w:szCs w:val="20"/>
              </w:rPr>
              <w:t xml:space="preserve">ristatymo </w:t>
            </w:r>
            <w:r w:rsidRPr="00C518E3">
              <w:rPr>
                <w:rFonts w:ascii="Arial" w:hAnsi="Arial" w:cs="Arial"/>
                <w:sz w:val="20"/>
                <w:szCs w:val="20"/>
              </w:rPr>
              <w:t>adresas</w:t>
            </w:r>
            <w:r w:rsidR="00F47A64" w:rsidRPr="00C518E3">
              <w:rPr>
                <w:rFonts w:ascii="Arial" w:hAnsi="Arial" w:cs="Arial"/>
                <w:sz w:val="20"/>
                <w:szCs w:val="20"/>
              </w:rPr>
              <w:t xml:space="preserve">: Infrastruktūros priežiūros centro Pietų regiono 330 kV Alytaus TP, Kauno kelias g. 4, </w:t>
            </w:r>
            <w:proofErr w:type="spellStart"/>
            <w:r w:rsidR="00F47A64" w:rsidRPr="00C518E3">
              <w:rPr>
                <w:rFonts w:ascii="Arial" w:hAnsi="Arial" w:cs="Arial"/>
                <w:sz w:val="20"/>
                <w:szCs w:val="20"/>
              </w:rPr>
              <w:t>Butkūnų</w:t>
            </w:r>
            <w:proofErr w:type="spellEnd"/>
            <w:r w:rsidR="00F47A64" w:rsidRPr="00C518E3">
              <w:rPr>
                <w:rFonts w:ascii="Arial" w:hAnsi="Arial" w:cs="Arial"/>
                <w:sz w:val="20"/>
                <w:szCs w:val="20"/>
              </w:rPr>
              <w:t xml:space="preserve"> k. Alytaus raj.</w:t>
            </w:r>
          </w:p>
        </w:tc>
        <w:tc>
          <w:tcPr>
            <w:tcW w:w="2522" w:type="pct"/>
            <w:vAlign w:val="center"/>
          </w:tcPr>
          <w:p w14:paraId="45AED671" w14:textId="17646DC1" w:rsidR="008C6AFA" w:rsidRPr="00C518E3" w:rsidRDefault="00F47A64" w:rsidP="00EC6503">
            <w:pPr>
              <w:pStyle w:val="ListParagraph"/>
              <w:tabs>
                <w:tab w:val="left" w:pos="426"/>
              </w:tabs>
              <w:spacing w:line="276" w:lineRule="auto"/>
              <w:ind w:left="0"/>
              <w:jc w:val="both"/>
              <w:rPr>
                <w:rFonts w:ascii="Arial" w:hAnsi="Arial" w:cs="Arial"/>
                <w:sz w:val="20"/>
                <w:szCs w:val="20"/>
                <w:lang w:val="en-GB"/>
              </w:rPr>
            </w:pPr>
            <w:r w:rsidRPr="00C518E3">
              <w:rPr>
                <w:rFonts w:ascii="Arial" w:hAnsi="Arial" w:cs="Arial"/>
                <w:sz w:val="20"/>
                <w:szCs w:val="20"/>
                <w:lang w:val="en-US"/>
              </w:rPr>
              <w:t xml:space="preserve">Delivery address: Goods must be delivered to 330 kV Alytus substation </w:t>
            </w:r>
            <w:proofErr w:type="spellStart"/>
            <w:r w:rsidRPr="00C518E3">
              <w:rPr>
                <w:rFonts w:ascii="Arial" w:hAnsi="Arial" w:cs="Arial"/>
                <w:sz w:val="20"/>
                <w:szCs w:val="20"/>
                <w:lang w:val="en-US"/>
              </w:rPr>
              <w:t>Kauno</w:t>
            </w:r>
            <w:proofErr w:type="spellEnd"/>
            <w:r w:rsidRPr="00C518E3">
              <w:rPr>
                <w:rFonts w:ascii="Arial" w:hAnsi="Arial" w:cs="Arial"/>
                <w:sz w:val="20"/>
                <w:szCs w:val="20"/>
                <w:lang w:val="en-US"/>
              </w:rPr>
              <w:t xml:space="preserve"> </w:t>
            </w:r>
            <w:proofErr w:type="spellStart"/>
            <w:r w:rsidRPr="00C518E3">
              <w:rPr>
                <w:rFonts w:ascii="Arial" w:hAnsi="Arial" w:cs="Arial"/>
                <w:sz w:val="20"/>
                <w:szCs w:val="20"/>
                <w:lang w:val="en-US"/>
              </w:rPr>
              <w:t>kelias</w:t>
            </w:r>
            <w:proofErr w:type="spellEnd"/>
            <w:r w:rsidRPr="00C518E3">
              <w:rPr>
                <w:rFonts w:ascii="Arial" w:hAnsi="Arial" w:cs="Arial"/>
                <w:sz w:val="20"/>
                <w:szCs w:val="20"/>
                <w:lang w:val="en-US"/>
              </w:rPr>
              <w:t xml:space="preserve"> g. 4, </w:t>
            </w:r>
            <w:proofErr w:type="spellStart"/>
            <w:r w:rsidRPr="00C518E3">
              <w:rPr>
                <w:rFonts w:ascii="Arial" w:hAnsi="Arial" w:cs="Arial"/>
                <w:sz w:val="20"/>
                <w:szCs w:val="20"/>
                <w:lang w:val="en-US"/>
              </w:rPr>
              <w:t>Butkūnų</w:t>
            </w:r>
            <w:proofErr w:type="spellEnd"/>
            <w:r w:rsidRPr="00C518E3">
              <w:rPr>
                <w:rFonts w:ascii="Arial" w:hAnsi="Arial" w:cs="Arial"/>
                <w:sz w:val="20"/>
                <w:szCs w:val="20"/>
                <w:lang w:val="en-US"/>
              </w:rPr>
              <w:t xml:space="preserve"> k. </w:t>
            </w:r>
            <w:proofErr w:type="spellStart"/>
            <w:r w:rsidRPr="00C518E3">
              <w:rPr>
                <w:rFonts w:ascii="Arial" w:hAnsi="Arial" w:cs="Arial"/>
                <w:sz w:val="20"/>
                <w:szCs w:val="20"/>
                <w:lang w:val="en-US"/>
              </w:rPr>
              <w:t>Alytaus</w:t>
            </w:r>
            <w:proofErr w:type="spellEnd"/>
            <w:r w:rsidRPr="00C518E3">
              <w:rPr>
                <w:rFonts w:ascii="Arial" w:hAnsi="Arial" w:cs="Arial"/>
                <w:sz w:val="20"/>
                <w:szCs w:val="20"/>
                <w:lang w:val="en-US"/>
              </w:rPr>
              <w:t xml:space="preserve"> raj.</w:t>
            </w:r>
          </w:p>
        </w:tc>
      </w:tr>
      <w:tr w:rsidR="00D07A94" w:rsidRPr="00C518E3" w14:paraId="17A56F3B" w14:textId="77777777" w:rsidTr="00C518E3">
        <w:trPr>
          <w:trHeight w:val="569"/>
        </w:trPr>
        <w:tc>
          <w:tcPr>
            <w:tcW w:w="194" w:type="pct"/>
            <w:vAlign w:val="center"/>
          </w:tcPr>
          <w:p w14:paraId="0FBFC4CA" w14:textId="74F09010" w:rsidR="00D07A94" w:rsidRPr="00C518E3" w:rsidRDefault="00D07A94" w:rsidP="00D07A94">
            <w:pPr>
              <w:spacing w:line="276" w:lineRule="auto"/>
              <w:jc w:val="center"/>
              <w:rPr>
                <w:rFonts w:ascii="Arial" w:hAnsi="Arial" w:cs="Arial"/>
                <w:sz w:val="20"/>
                <w:szCs w:val="20"/>
              </w:rPr>
            </w:pPr>
            <w:r w:rsidRPr="00C518E3">
              <w:rPr>
                <w:rFonts w:ascii="Arial" w:hAnsi="Arial" w:cs="Arial"/>
                <w:sz w:val="20"/>
                <w:szCs w:val="20"/>
              </w:rPr>
              <w:t>1.</w:t>
            </w:r>
            <w:r w:rsidR="00C51263" w:rsidRPr="00C518E3">
              <w:rPr>
                <w:rFonts w:ascii="Arial" w:hAnsi="Arial" w:cs="Arial"/>
                <w:sz w:val="20"/>
                <w:szCs w:val="20"/>
              </w:rPr>
              <w:t>4</w:t>
            </w:r>
            <w:r w:rsidRPr="00C518E3">
              <w:rPr>
                <w:rFonts w:ascii="Arial" w:hAnsi="Arial" w:cs="Arial"/>
                <w:sz w:val="20"/>
                <w:szCs w:val="20"/>
              </w:rPr>
              <w:t>.</w:t>
            </w:r>
          </w:p>
        </w:tc>
        <w:tc>
          <w:tcPr>
            <w:tcW w:w="2284" w:type="pct"/>
            <w:vAlign w:val="center"/>
          </w:tcPr>
          <w:p w14:paraId="4AED3D91" w14:textId="43D80D2B" w:rsidR="00D07A94" w:rsidRPr="00C518E3" w:rsidRDefault="00D07A94" w:rsidP="00EC6503">
            <w:pPr>
              <w:tabs>
                <w:tab w:val="left" w:pos="426"/>
                <w:tab w:val="left" w:pos="851"/>
              </w:tabs>
              <w:suppressAutoHyphens/>
              <w:autoSpaceDE w:val="0"/>
              <w:autoSpaceDN w:val="0"/>
              <w:adjustRightInd w:val="0"/>
              <w:spacing w:line="276" w:lineRule="auto"/>
              <w:jc w:val="both"/>
              <w:textAlignment w:val="center"/>
              <w:rPr>
                <w:rFonts w:ascii="Arial" w:hAnsi="Arial" w:cs="Arial"/>
                <w:sz w:val="20"/>
                <w:szCs w:val="20"/>
              </w:rPr>
            </w:pPr>
            <w:r w:rsidRPr="00C518E3">
              <w:rPr>
                <w:rFonts w:ascii="Arial" w:hAnsi="Arial" w:cs="Arial"/>
                <w:sz w:val="20"/>
                <w:szCs w:val="20"/>
                <w:lang w:eastAsia="zh-CN"/>
              </w:rPr>
              <w:t xml:space="preserve"> </w:t>
            </w:r>
            <w:r w:rsidRPr="00C518E3">
              <w:rPr>
                <w:rFonts w:ascii="Arial" w:hAnsi="Arial" w:cs="Arial"/>
                <w:sz w:val="20"/>
                <w:szCs w:val="20"/>
              </w:rPr>
              <w:t>Techniniai reikalavimai Prekei nurodyti šios Techninės specifikacijos 2 priede.</w:t>
            </w:r>
          </w:p>
        </w:tc>
        <w:tc>
          <w:tcPr>
            <w:tcW w:w="2522" w:type="pct"/>
            <w:vAlign w:val="center"/>
          </w:tcPr>
          <w:p w14:paraId="0A5FC8C2" w14:textId="3E25A5D2" w:rsidR="00D07A94" w:rsidRPr="00C518E3" w:rsidRDefault="00D07A94" w:rsidP="00EC6503">
            <w:pPr>
              <w:pStyle w:val="ListParagraph"/>
              <w:tabs>
                <w:tab w:val="left" w:pos="426"/>
              </w:tabs>
              <w:spacing w:line="276" w:lineRule="auto"/>
              <w:ind w:left="0"/>
              <w:jc w:val="both"/>
              <w:rPr>
                <w:rFonts w:ascii="Arial" w:hAnsi="Arial" w:cs="Arial"/>
                <w:sz w:val="20"/>
                <w:szCs w:val="20"/>
                <w:lang w:val="en-GB"/>
              </w:rPr>
            </w:pPr>
            <w:proofErr w:type="spellStart"/>
            <w:r w:rsidRPr="00C518E3">
              <w:rPr>
                <w:rFonts w:ascii="Arial" w:hAnsi="Arial" w:cs="Arial"/>
                <w:sz w:val="20"/>
                <w:szCs w:val="20"/>
                <w:lang w:eastAsia="zh-CN"/>
              </w:rPr>
              <w:t>Technical</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requirements</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for</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Goods</w:t>
            </w:r>
            <w:proofErr w:type="spellEnd"/>
            <w:r w:rsidRPr="00C518E3">
              <w:rPr>
                <w:rFonts w:ascii="Arial" w:hAnsi="Arial" w:cs="Arial"/>
                <w:sz w:val="20"/>
                <w:szCs w:val="20"/>
                <w:lang w:eastAsia="zh-CN"/>
              </w:rPr>
              <w:t xml:space="preserve"> are </w:t>
            </w:r>
            <w:proofErr w:type="spellStart"/>
            <w:r w:rsidRPr="00C518E3">
              <w:rPr>
                <w:rFonts w:ascii="Arial" w:hAnsi="Arial" w:cs="Arial"/>
                <w:sz w:val="20"/>
                <w:szCs w:val="20"/>
                <w:lang w:eastAsia="zh-CN"/>
              </w:rPr>
              <w:t>specified</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in</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Annex</w:t>
            </w:r>
            <w:proofErr w:type="spellEnd"/>
            <w:r w:rsidRPr="00C518E3">
              <w:rPr>
                <w:rFonts w:ascii="Arial" w:hAnsi="Arial" w:cs="Arial"/>
                <w:sz w:val="20"/>
                <w:szCs w:val="20"/>
                <w:lang w:eastAsia="zh-CN"/>
              </w:rPr>
              <w:t xml:space="preserve"> 2 to </w:t>
            </w:r>
            <w:proofErr w:type="spellStart"/>
            <w:r w:rsidRPr="00C518E3">
              <w:rPr>
                <w:rFonts w:ascii="Arial" w:hAnsi="Arial" w:cs="Arial"/>
                <w:sz w:val="20"/>
                <w:szCs w:val="20"/>
                <w:lang w:eastAsia="zh-CN"/>
              </w:rPr>
              <w:t>the</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Technical</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Specification</w:t>
            </w:r>
            <w:proofErr w:type="spellEnd"/>
            <w:r w:rsidRPr="00C518E3">
              <w:rPr>
                <w:rFonts w:ascii="Arial" w:hAnsi="Arial" w:cs="Arial"/>
                <w:sz w:val="20"/>
                <w:szCs w:val="20"/>
                <w:lang w:eastAsia="zh-CN"/>
              </w:rPr>
              <w:t>.</w:t>
            </w:r>
          </w:p>
        </w:tc>
      </w:tr>
      <w:tr w:rsidR="00D07A94" w:rsidRPr="00C518E3" w14:paraId="617AFA1D" w14:textId="77777777" w:rsidTr="00673C3B">
        <w:trPr>
          <w:trHeight w:val="479"/>
        </w:trPr>
        <w:tc>
          <w:tcPr>
            <w:tcW w:w="194" w:type="pct"/>
            <w:vAlign w:val="center"/>
          </w:tcPr>
          <w:p w14:paraId="06CE8C2D" w14:textId="13736F35" w:rsidR="00D07A94" w:rsidRPr="00C518E3" w:rsidRDefault="00D07A94" w:rsidP="00D07A94">
            <w:pPr>
              <w:spacing w:line="276" w:lineRule="auto"/>
              <w:jc w:val="center"/>
              <w:rPr>
                <w:rFonts w:ascii="Arial" w:hAnsi="Arial" w:cs="Arial"/>
                <w:sz w:val="20"/>
                <w:szCs w:val="20"/>
              </w:rPr>
            </w:pPr>
            <w:r w:rsidRPr="00C518E3">
              <w:rPr>
                <w:rFonts w:ascii="Arial" w:hAnsi="Arial" w:cs="Arial"/>
                <w:sz w:val="20"/>
                <w:szCs w:val="20"/>
              </w:rPr>
              <w:t>1.</w:t>
            </w:r>
            <w:r w:rsidR="00C51263" w:rsidRPr="00C518E3">
              <w:rPr>
                <w:rFonts w:ascii="Arial" w:hAnsi="Arial" w:cs="Arial"/>
                <w:sz w:val="20"/>
                <w:szCs w:val="20"/>
              </w:rPr>
              <w:t>5</w:t>
            </w:r>
            <w:r w:rsidRPr="00C518E3">
              <w:rPr>
                <w:rFonts w:ascii="Arial" w:hAnsi="Arial" w:cs="Arial"/>
                <w:sz w:val="20"/>
                <w:szCs w:val="20"/>
              </w:rPr>
              <w:t>.</w:t>
            </w:r>
          </w:p>
        </w:tc>
        <w:tc>
          <w:tcPr>
            <w:tcW w:w="2284" w:type="pct"/>
            <w:vAlign w:val="center"/>
          </w:tcPr>
          <w:p w14:paraId="3CE4614E" w14:textId="52DB5851" w:rsidR="00D07A94" w:rsidRPr="00C518E3" w:rsidRDefault="00D07A94" w:rsidP="00EC6503">
            <w:pPr>
              <w:pStyle w:val="ListParagraph"/>
              <w:tabs>
                <w:tab w:val="left" w:pos="0"/>
                <w:tab w:val="left" w:pos="426"/>
                <w:tab w:val="left" w:pos="567"/>
              </w:tabs>
              <w:suppressAutoHyphens/>
              <w:autoSpaceDE w:val="0"/>
              <w:autoSpaceDN w:val="0"/>
              <w:adjustRightInd w:val="0"/>
              <w:spacing w:line="276" w:lineRule="auto"/>
              <w:ind w:left="0"/>
              <w:jc w:val="both"/>
              <w:textAlignment w:val="center"/>
              <w:rPr>
                <w:rFonts w:ascii="Arial" w:hAnsi="Arial" w:cs="Arial"/>
                <w:sz w:val="20"/>
                <w:szCs w:val="20"/>
                <w:lang w:eastAsia="zh-CN"/>
              </w:rPr>
            </w:pPr>
            <w:r w:rsidRPr="00C518E3">
              <w:rPr>
                <w:rFonts w:ascii="Arial" w:hAnsi="Arial" w:cs="Arial"/>
                <w:sz w:val="20"/>
                <w:szCs w:val="20"/>
                <w:lang w:eastAsia="zh-CN"/>
              </w:rPr>
              <w:t>Prekei turi būti suteikiama ne mažiau kaip 24 mėnesių garantija, skaičiuojama nuo j</w:t>
            </w:r>
            <w:r w:rsidR="00F05FE8">
              <w:rPr>
                <w:rFonts w:ascii="Arial" w:hAnsi="Arial" w:cs="Arial"/>
                <w:sz w:val="20"/>
                <w:szCs w:val="20"/>
                <w:lang w:eastAsia="zh-CN"/>
              </w:rPr>
              <w:t>os</w:t>
            </w:r>
            <w:r w:rsidRPr="00C518E3">
              <w:rPr>
                <w:rFonts w:ascii="Arial" w:hAnsi="Arial" w:cs="Arial"/>
                <w:sz w:val="20"/>
                <w:szCs w:val="20"/>
                <w:lang w:eastAsia="zh-CN"/>
              </w:rPr>
              <w:t xml:space="preserve"> pristatymo Perkančiajam subjektui dienos.</w:t>
            </w:r>
          </w:p>
        </w:tc>
        <w:tc>
          <w:tcPr>
            <w:tcW w:w="2522" w:type="pct"/>
            <w:vAlign w:val="center"/>
          </w:tcPr>
          <w:p w14:paraId="2075C7B4" w14:textId="57DB61B6" w:rsidR="00D07A94" w:rsidRPr="00C518E3" w:rsidRDefault="00D07A94" w:rsidP="00EC6503">
            <w:pPr>
              <w:pStyle w:val="ListParagraph"/>
              <w:tabs>
                <w:tab w:val="left" w:pos="426"/>
              </w:tabs>
              <w:spacing w:line="276" w:lineRule="auto"/>
              <w:ind w:left="0"/>
              <w:jc w:val="both"/>
              <w:rPr>
                <w:rFonts w:ascii="Arial" w:hAnsi="Arial" w:cs="Arial"/>
                <w:sz w:val="20"/>
                <w:szCs w:val="20"/>
                <w:lang w:val="en-GB"/>
              </w:rPr>
            </w:pPr>
            <w:proofErr w:type="spellStart"/>
            <w:r w:rsidRPr="00C518E3">
              <w:rPr>
                <w:rFonts w:ascii="Arial" w:hAnsi="Arial" w:cs="Arial"/>
                <w:sz w:val="20"/>
                <w:szCs w:val="20"/>
                <w:lang w:eastAsia="zh-CN"/>
              </w:rPr>
              <w:t>Goods</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must</w:t>
            </w:r>
            <w:proofErr w:type="spellEnd"/>
            <w:r w:rsidRPr="00C518E3">
              <w:rPr>
                <w:rFonts w:ascii="Arial" w:hAnsi="Arial" w:cs="Arial"/>
                <w:sz w:val="20"/>
                <w:szCs w:val="20"/>
                <w:lang w:eastAsia="zh-CN"/>
              </w:rPr>
              <w:t xml:space="preserve"> be </w:t>
            </w:r>
            <w:proofErr w:type="spellStart"/>
            <w:r w:rsidRPr="00C518E3">
              <w:rPr>
                <w:rFonts w:ascii="Arial" w:hAnsi="Arial" w:cs="Arial"/>
                <w:sz w:val="20"/>
                <w:szCs w:val="20"/>
                <w:lang w:eastAsia="zh-CN"/>
              </w:rPr>
              <w:t>covered</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by</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not</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less</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than</w:t>
            </w:r>
            <w:proofErr w:type="spellEnd"/>
            <w:r w:rsidRPr="00C518E3">
              <w:rPr>
                <w:rFonts w:ascii="Arial" w:hAnsi="Arial" w:cs="Arial"/>
                <w:sz w:val="20"/>
                <w:szCs w:val="20"/>
                <w:lang w:eastAsia="zh-CN"/>
              </w:rPr>
              <w:t xml:space="preserve"> 24 </w:t>
            </w:r>
            <w:proofErr w:type="spellStart"/>
            <w:r w:rsidRPr="00C518E3">
              <w:rPr>
                <w:rFonts w:ascii="Arial" w:hAnsi="Arial" w:cs="Arial"/>
                <w:sz w:val="20"/>
                <w:szCs w:val="20"/>
                <w:lang w:eastAsia="zh-CN"/>
              </w:rPr>
              <w:t>months</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warranty</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starting</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from</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the</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date</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of</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their</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delivery</w:t>
            </w:r>
            <w:proofErr w:type="spellEnd"/>
            <w:r w:rsidRPr="00C518E3">
              <w:rPr>
                <w:rFonts w:ascii="Arial" w:hAnsi="Arial" w:cs="Arial"/>
                <w:sz w:val="20"/>
                <w:szCs w:val="20"/>
                <w:lang w:eastAsia="zh-CN"/>
              </w:rPr>
              <w:t xml:space="preserve"> to </w:t>
            </w:r>
            <w:proofErr w:type="spellStart"/>
            <w:r w:rsidRPr="00C518E3">
              <w:rPr>
                <w:rFonts w:ascii="Arial" w:hAnsi="Arial" w:cs="Arial"/>
                <w:sz w:val="20"/>
                <w:szCs w:val="20"/>
                <w:lang w:eastAsia="zh-CN"/>
              </w:rPr>
              <w:t>the</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Contracting</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Entity</w:t>
            </w:r>
            <w:proofErr w:type="spellEnd"/>
            <w:r w:rsidRPr="00C518E3">
              <w:rPr>
                <w:rFonts w:ascii="Arial" w:hAnsi="Arial" w:cs="Arial"/>
                <w:sz w:val="20"/>
                <w:szCs w:val="20"/>
                <w:lang w:eastAsia="zh-CN"/>
              </w:rPr>
              <w:t>.</w:t>
            </w:r>
          </w:p>
        </w:tc>
      </w:tr>
      <w:tr w:rsidR="00D07A94" w:rsidRPr="00C518E3" w14:paraId="310C3A03" w14:textId="77777777" w:rsidTr="00673C3B">
        <w:trPr>
          <w:trHeight w:val="373"/>
        </w:trPr>
        <w:tc>
          <w:tcPr>
            <w:tcW w:w="194" w:type="pct"/>
            <w:vAlign w:val="center"/>
          </w:tcPr>
          <w:p w14:paraId="45DA0D71" w14:textId="51CC3026" w:rsidR="00D07A94" w:rsidRPr="00C518E3" w:rsidRDefault="00D07A94" w:rsidP="00D07A94">
            <w:pPr>
              <w:spacing w:line="276" w:lineRule="auto"/>
              <w:jc w:val="center"/>
              <w:rPr>
                <w:rFonts w:ascii="Arial" w:hAnsi="Arial" w:cs="Arial"/>
                <w:sz w:val="20"/>
                <w:szCs w:val="20"/>
              </w:rPr>
            </w:pPr>
            <w:r w:rsidRPr="00C518E3">
              <w:rPr>
                <w:rFonts w:ascii="Arial" w:hAnsi="Arial" w:cs="Arial"/>
                <w:sz w:val="20"/>
                <w:szCs w:val="20"/>
              </w:rPr>
              <w:t>1.</w:t>
            </w:r>
            <w:r w:rsidR="00C51263" w:rsidRPr="00C518E3">
              <w:rPr>
                <w:rFonts w:ascii="Arial" w:hAnsi="Arial" w:cs="Arial"/>
                <w:sz w:val="20"/>
                <w:szCs w:val="20"/>
              </w:rPr>
              <w:t>6</w:t>
            </w:r>
            <w:r w:rsidRPr="00C518E3">
              <w:rPr>
                <w:rFonts w:ascii="Arial" w:hAnsi="Arial" w:cs="Arial"/>
                <w:sz w:val="20"/>
                <w:szCs w:val="20"/>
              </w:rPr>
              <w:t>.</w:t>
            </w:r>
          </w:p>
        </w:tc>
        <w:tc>
          <w:tcPr>
            <w:tcW w:w="2284" w:type="pct"/>
            <w:vAlign w:val="center"/>
          </w:tcPr>
          <w:p w14:paraId="594278E6" w14:textId="36AFFA6D" w:rsidR="00D07A94" w:rsidRPr="00C518E3" w:rsidRDefault="00D07A94" w:rsidP="00EC6503">
            <w:pPr>
              <w:pStyle w:val="ListParagraph"/>
              <w:tabs>
                <w:tab w:val="left" w:pos="0"/>
                <w:tab w:val="left" w:pos="426"/>
                <w:tab w:val="left" w:pos="567"/>
              </w:tabs>
              <w:suppressAutoHyphens/>
              <w:autoSpaceDE w:val="0"/>
              <w:autoSpaceDN w:val="0"/>
              <w:adjustRightInd w:val="0"/>
              <w:spacing w:after="160" w:line="276" w:lineRule="auto"/>
              <w:ind w:left="0"/>
              <w:jc w:val="both"/>
              <w:textAlignment w:val="center"/>
              <w:rPr>
                <w:rFonts w:ascii="Arial" w:hAnsi="Arial" w:cs="Arial"/>
                <w:sz w:val="20"/>
                <w:szCs w:val="20"/>
                <w:lang w:eastAsia="zh-CN"/>
              </w:rPr>
            </w:pPr>
            <w:r w:rsidRPr="00C518E3">
              <w:rPr>
                <w:rFonts w:ascii="Arial" w:hAnsi="Arial" w:cs="Arial"/>
                <w:sz w:val="20"/>
                <w:szCs w:val="20"/>
                <w:lang w:eastAsia="zh-CN"/>
              </w:rPr>
              <w:t xml:space="preserve">Prekė turi būti nauja, anksčiau niekur nenaudota, tinkama naudoti pagal paskirtį. </w:t>
            </w:r>
          </w:p>
        </w:tc>
        <w:tc>
          <w:tcPr>
            <w:tcW w:w="2522" w:type="pct"/>
            <w:vAlign w:val="center"/>
          </w:tcPr>
          <w:p w14:paraId="6624E904" w14:textId="6227CC79" w:rsidR="00D07A94" w:rsidRPr="00C518E3" w:rsidRDefault="00D07A94" w:rsidP="00EC6503">
            <w:pPr>
              <w:pStyle w:val="ListParagraph"/>
              <w:tabs>
                <w:tab w:val="left" w:pos="567"/>
              </w:tabs>
              <w:spacing w:after="160" w:line="276" w:lineRule="auto"/>
              <w:ind w:left="0"/>
              <w:jc w:val="both"/>
              <w:rPr>
                <w:rFonts w:ascii="Arial" w:hAnsi="Arial" w:cs="Arial"/>
                <w:sz w:val="20"/>
                <w:szCs w:val="20"/>
                <w:lang w:val="en-US"/>
              </w:rPr>
            </w:pPr>
            <w:r w:rsidRPr="00C518E3">
              <w:rPr>
                <w:rFonts w:ascii="Arial" w:hAnsi="Arial" w:cs="Arial"/>
                <w:sz w:val="20"/>
                <w:szCs w:val="20"/>
                <w:lang w:val="en-US"/>
              </w:rPr>
              <w:t>Goods must be new, not previously used, suitable for their intended use.</w:t>
            </w:r>
          </w:p>
        </w:tc>
      </w:tr>
      <w:tr w:rsidR="00D07A94" w:rsidRPr="00C518E3" w14:paraId="357B4808" w14:textId="77777777" w:rsidTr="00C518E3">
        <w:trPr>
          <w:trHeight w:val="1355"/>
        </w:trPr>
        <w:tc>
          <w:tcPr>
            <w:tcW w:w="194" w:type="pct"/>
            <w:vAlign w:val="center"/>
          </w:tcPr>
          <w:p w14:paraId="6694E4F9" w14:textId="79F81E1A" w:rsidR="00D07A94" w:rsidRPr="00C518E3" w:rsidRDefault="00D07A94" w:rsidP="00EC6503">
            <w:pPr>
              <w:spacing w:line="276" w:lineRule="auto"/>
              <w:jc w:val="center"/>
              <w:rPr>
                <w:rFonts w:ascii="Arial" w:hAnsi="Arial" w:cs="Arial"/>
                <w:sz w:val="20"/>
                <w:szCs w:val="20"/>
              </w:rPr>
            </w:pPr>
            <w:r w:rsidRPr="00C518E3">
              <w:rPr>
                <w:rFonts w:ascii="Arial" w:hAnsi="Arial" w:cs="Arial"/>
                <w:sz w:val="20"/>
                <w:szCs w:val="20"/>
              </w:rPr>
              <w:t>1.</w:t>
            </w:r>
            <w:r w:rsidR="00C51263" w:rsidRPr="00C518E3">
              <w:rPr>
                <w:rFonts w:ascii="Arial" w:hAnsi="Arial" w:cs="Arial"/>
                <w:sz w:val="20"/>
                <w:szCs w:val="20"/>
              </w:rPr>
              <w:t>7</w:t>
            </w:r>
            <w:r w:rsidRPr="00C518E3">
              <w:rPr>
                <w:rFonts w:ascii="Arial" w:hAnsi="Arial" w:cs="Arial"/>
                <w:sz w:val="20"/>
                <w:szCs w:val="20"/>
              </w:rPr>
              <w:t>.</w:t>
            </w:r>
          </w:p>
        </w:tc>
        <w:tc>
          <w:tcPr>
            <w:tcW w:w="2284" w:type="pct"/>
          </w:tcPr>
          <w:p w14:paraId="79212255" w14:textId="679D1E6F" w:rsidR="00D07A94" w:rsidRPr="00C518E3" w:rsidRDefault="00D07A94" w:rsidP="00EC6503">
            <w:pPr>
              <w:tabs>
                <w:tab w:val="left" w:pos="426"/>
                <w:tab w:val="left" w:pos="851"/>
              </w:tabs>
              <w:suppressAutoHyphens/>
              <w:autoSpaceDE w:val="0"/>
              <w:autoSpaceDN w:val="0"/>
              <w:adjustRightInd w:val="0"/>
              <w:spacing w:line="276" w:lineRule="auto"/>
              <w:jc w:val="both"/>
              <w:textAlignment w:val="center"/>
              <w:rPr>
                <w:rFonts w:ascii="Arial" w:hAnsi="Arial" w:cs="Arial"/>
                <w:sz w:val="20"/>
                <w:szCs w:val="20"/>
                <w:lang w:eastAsia="zh-CN"/>
              </w:rPr>
            </w:pPr>
            <w:r w:rsidRPr="00C518E3">
              <w:rPr>
                <w:rFonts w:ascii="Arial" w:hAnsi="Arial" w:cs="Arial"/>
                <w:sz w:val="20"/>
                <w:szCs w:val="20"/>
                <w:lang w:eastAsia="zh-CN"/>
              </w:rPr>
              <w:t>Prekė turi būti supakuota gamyklinėje pakuotėje. Prekė pristatoma Perkančiajam subjektui šios Techninės specifikacijos 1.2 punkte nurodytu adresu, nepažeistoje gamyklinėje pakuotėje (pakuotė turi būti be mechaninių pažeidimų, nepažeista drėgmės ir kitų veiksnių). Už Prekių iškrovimą ir pastatymą Perkančiojo subjekto nurodytoje sandėliavimo vietoje atsakingas Tiekėjas.</w:t>
            </w:r>
          </w:p>
        </w:tc>
        <w:tc>
          <w:tcPr>
            <w:tcW w:w="2522" w:type="pct"/>
          </w:tcPr>
          <w:p w14:paraId="072F1D14" w14:textId="33BCC84C" w:rsidR="00D07A94" w:rsidRPr="00C518E3" w:rsidRDefault="00D07A94" w:rsidP="00EC6503">
            <w:pPr>
              <w:pStyle w:val="ListParagraph"/>
              <w:tabs>
                <w:tab w:val="left" w:pos="426"/>
              </w:tabs>
              <w:spacing w:line="276" w:lineRule="auto"/>
              <w:ind w:left="0"/>
              <w:jc w:val="both"/>
              <w:rPr>
                <w:rFonts w:ascii="Arial" w:hAnsi="Arial" w:cs="Arial"/>
                <w:sz w:val="20"/>
                <w:szCs w:val="20"/>
                <w:lang w:val="en-GB"/>
              </w:rPr>
            </w:pPr>
            <w:r w:rsidRPr="00C518E3">
              <w:rPr>
                <w:rFonts w:ascii="Arial" w:hAnsi="Arial" w:cs="Arial"/>
                <w:sz w:val="20"/>
                <w:szCs w:val="20"/>
                <w:lang w:val="en-GB"/>
              </w:rPr>
              <w:t>Goods must be packed in the factory packaging. Goods shall be delivered to the Contracting Entity at the address specified in point 1.2 of the Technical Specification in undamaged factory packaging (packaging shall be free from mechanical damage, damage from moisture and other factors).</w:t>
            </w:r>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The</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Supplier</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shall</w:t>
            </w:r>
            <w:proofErr w:type="spellEnd"/>
            <w:r w:rsidRPr="00C518E3">
              <w:rPr>
                <w:rFonts w:ascii="Arial" w:hAnsi="Arial" w:cs="Arial"/>
                <w:sz w:val="20"/>
                <w:szCs w:val="20"/>
                <w:lang w:eastAsia="zh-CN"/>
              </w:rPr>
              <w:t xml:space="preserve"> be </w:t>
            </w:r>
            <w:proofErr w:type="spellStart"/>
            <w:r w:rsidRPr="00C518E3">
              <w:rPr>
                <w:rFonts w:ascii="Arial" w:hAnsi="Arial" w:cs="Arial"/>
                <w:sz w:val="20"/>
                <w:szCs w:val="20"/>
                <w:lang w:eastAsia="zh-CN"/>
              </w:rPr>
              <w:t>responsible</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for</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unloading</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and</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placing</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of</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the</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Goods</w:t>
            </w:r>
            <w:proofErr w:type="spellEnd"/>
            <w:r w:rsidRPr="00C518E3">
              <w:rPr>
                <w:rFonts w:ascii="Arial" w:hAnsi="Arial" w:cs="Arial"/>
                <w:sz w:val="20"/>
                <w:szCs w:val="20"/>
                <w:lang w:eastAsia="zh-CN"/>
              </w:rPr>
              <w:t xml:space="preserve"> at </w:t>
            </w:r>
            <w:proofErr w:type="spellStart"/>
            <w:r w:rsidRPr="00C518E3">
              <w:rPr>
                <w:rFonts w:ascii="Arial" w:hAnsi="Arial" w:cs="Arial"/>
                <w:sz w:val="20"/>
                <w:szCs w:val="20"/>
                <w:lang w:eastAsia="zh-CN"/>
              </w:rPr>
              <w:t>the</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storage</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place</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specified</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by</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the</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Contracting</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Entity</w:t>
            </w:r>
            <w:proofErr w:type="spellEnd"/>
            <w:r w:rsidRPr="00C518E3">
              <w:rPr>
                <w:rFonts w:ascii="Arial" w:hAnsi="Arial" w:cs="Arial"/>
                <w:sz w:val="20"/>
                <w:szCs w:val="20"/>
                <w:lang w:eastAsia="zh-CN"/>
              </w:rPr>
              <w:t>.</w:t>
            </w:r>
          </w:p>
        </w:tc>
      </w:tr>
      <w:tr w:rsidR="00D07A94" w:rsidRPr="00C518E3" w14:paraId="44C37F55" w14:textId="77777777" w:rsidTr="00C518E3">
        <w:trPr>
          <w:trHeight w:val="293"/>
        </w:trPr>
        <w:tc>
          <w:tcPr>
            <w:tcW w:w="194" w:type="pct"/>
            <w:vAlign w:val="center"/>
          </w:tcPr>
          <w:p w14:paraId="5587247C" w14:textId="4598987F" w:rsidR="00D07A94" w:rsidRPr="00C518E3" w:rsidRDefault="00D07A94" w:rsidP="00EC6503">
            <w:pPr>
              <w:spacing w:line="276" w:lineRule="auto"/>
              <w:jc w:val="center"/>
              <w:rPr>
                <w:rFonts w:ascii="Arial" w:hAnsi="Arial" w:cs="Arial"/>
                <w:sz w:val="20"/>
                <w:szCs w:val="20"/>
              </w:rPr>
            </w:pPr>
            <w:r w:rsidRPr="00C518E3">
              <w:rPr>
                <w:rFonts w:ascii="Arial" w:hAnsi="Arial" w:cs="Arial"/>
                <w:sz w:val="20"/>
                <w:szCs w:val="20"/>
              </w:rPr>
              <w:t>1.</w:t>
            </w:r>
            <w:r w:rsidR="00C51263" w:rsidRPr="00C518E3">
              <w:rPr>
                <w:rFonts w:ascii="Arial" w:hAnsi="Arial" w:cs="Arial"/>
                <w:sz w:val="20"/>
                <w:szCs w:val="20"/>
              </w:rPr>
              <w:t>8</w:t>
            </w:r>
            <w:r w:rsidRPr="00C518E3">
              <w:rPr>
                <w:rFonts w:ascii="Arial" w:hAnsi="Arial" w:cs="Arial"/>
                <w:sz w:val="20"/>
                <w:szCs w:val="20"/>
              </w:rPr>
              <w:t>.</w:t>
            </w:r>
          </w:p>
        </w:tc>
        <w:tc>
          <w:tcPr>
            <w:tcW w:w="2284" w:type="pct"/>
          </w:tcPr>
          <w:p w14:paraId="3C8F911F" w14:textId="2AA097DD" w:rsidR="00D07A94" w:rsidRPr="00C518E3" w:rsidRDefault="00D07A94" w:rsidP="00EC6503">
            <w:pPr>
              <w:pStyle w:val="ListParagraph"/>
              <w:tabs>
                <w:tab w:val="left" w:pos="0"/>
                <w:tab w:val="left" w:pos="426"/>
                <w:tab w:val="left" w:pos="567"/>
              </w:tabs>
              <w:suppressAutoHyphens/>
              <w:autoSpaceDE w:val="0"/>
              <w:autoSpaceDN w:val="0"/>
              <w:adjustRightInd w:val="0"/>
              <w:spacing w:after="160" w:line="276" w:lineRule="auto"/>
              <w:ind w:left="0"/>
              <w:jc w:val="both"/>
              <w:textAlignment w:val="center"/>
              <w:rPr>
                <w:rFonts w:ascii="Arial" w:hAnsi="Arial" w:cs="Arial"/>
                <w:sz w:val="20"/>
                <w:szCs w:val="20"/>
                <w:lang w:eastAsia="zh-CN"/>
              </w:rPr>
            </w:pPr>
            <w:r w:rsidRPr="00C518E3">
              <w:rPr>
                <w:rFonts w:ascii="Arial" w:hAnsi="Arial" w:cs="Arial"/>
                <w:sz w:val="20"/>
                <w:szCs w:val="20"/>
                <w:lang w:eastAsia="zh-CN"/>
              </w:rPr>
              <w:t>Prekė turi turėti techninių duomenų lentelę, sudarytą pagal šios Techninės specifikacijos 1 priedą.</w:t>
            </w:r>
          </w:p>
        </w:tc>
        <w:tc>
          <w:tcPr>
            <w:tcW w:w="2522" w:type="pct"/>
          </w:tcPr>
          <w:p w14:paraId="6ABF3790" w14:textId="169CFCC8" w:rsidR="00D07A94" w:rsidRPr="00C518E3" w:rsidRDefault="00D07A94" w:rsidP="00EC6503">
            <w:pPr>
              <w:pStyle w:val="ListParagraph"/>
              <w:tabs>
                <w:tab w:val="left" w:pos="567"/>
              </w:tabs>
              <w:spacing w:line="276" w:lineRule="auto"/>
              <w:ind w:left="0"/>
              <w:jc w:val="both"/>
              <w:rPr>
                <w:rFonts w:ascii="Arial" w:hAnsi="Arial" w:cs="Arial"/>
                <w:sz w:val="20"/>
                <w:szCs w:val="20"/>
                <w:lang w:val="en-US"/>
              </w:rPr>
            </w:pPr>
            <w:r w:rsidRPr="00C518E3">
              <w:rPr>
                <w:rFonts w:ascii="Arial" w:hAnsi="Arial" w:cs="Arial"/>
                <w:sz w:val="20"/>
                <w:szCs w:val="20"/>
                <w:lang w:val="en-US"/>
              </w:rPr>
              <w:t>Goods shall have technical data sheets drawn up in accordance with Annex 1 of the Technical Specification.</w:t>
            </w:r>
          </w:p>
        </w:tc>
      </w:tr>
      <w:tr w:rsidR="00D07A94" w:rsidRPr="00C518E3" w14:paraId="5D2E55E4" w14:textId="77777777" w:rsidTr="00EC6503">
        <w:tc>
          <w:tcPr>
            <w:tcW w:w="194" w:type="pct"/>
            <w:vAlign w:val="center"/>
          </w:tcPr>
          <w:p w14:paraId="1D3C4E6B" w14:textId="2ECA0798" w:rsidR="00D07A94" w:rsidRPr="00C518E3" w:rsidRDefault="00D07A94" w:rsidP="00EC6503">
            <w:pPr>
              <w:spacing w:line="276" w:lineRule="auto"/>
              <w:jc w:val="center"/>
              <w:rPr>
                <w:rFonts w:ascii="Arial" w:hAnsi="Arial" w:cs="Arial"/>
                <w:sz w:val="20"/>
                <w:szCs w:val="20"/>
              </w:rPr>
            </w:pPr>
            <w:r w:rsidRPr="00C518E3">
              <w:rPr>
                <w:rFonts w:ascii="Arial" w:hAnsi="Arial" w:cs="Arial"/>
                <w:sz w:val="20"/>
                <w:szCs w:val="20"/>
              </w:rPr>
              <w:t>1.</w:t>
            </w:r>
            <w:r w:rsidR="00C51263" w:rsidRPr="00C518E3">
              <w:rPr>
                <w:rFonts w:ascii="Arial" w:hAnsi="Arial" w:cs="Arial"/>
                <w:sz w:val="20"/>
                <w:szCs w:val="20"/>
              </w:rPr>
              <w:t>9</w:t>
            </w:r>
            <w:r w:rsidRPr="00C518E3">
              <w:rPr>
                <w:rFonts w:ascii="Arial" w:hAnsi="Arial" w:cs="Arial"/>
                <w:sz w:val="20"/>
                <w:szCs w:val="20"/>
              </w:rPr>
              <w:t>.</w:t>
            </w:r>
          </w:p>
        </w:tc>
        <w:tc>
          <w:tcPr>
            <w:tcW w:w="2284" w:type="pct"/>
            <w:vAlign w:val="center"/>
          </w:tcPr>
          <w:p w14:paraId="2D992AED" w14:textId="3DC99AC0" w:rsidR="00D07A94" w:rsidRPr="00C518E3" w:rsidRDefault="00D07A94" w:rsidP="00EC6503">
            <w:pPr>
              <w:pStyle w:val="ListParagraph"/>
              <w:tabs>
                <w:tab w:val="left" w:pos="0"/>
                <w:tab w:val="left" w:pos="426"/>
                <w:tab w:val="left" w:pos="567"/>
              </w:tabs>
              <w:suppressAutoHyphens/>
              <w:autoSpaceDE w:val="0"/>
              <w:autoSpaceDN w:val="0"/>
              <w:adjustRightInd w:val="0"/>
              <w:spacing w:line="276" w:lineRule="auto"/>
              <w:ind w:left="0"/>
              <w:jc w:val="both"/>
              <w:textAlignment w:val="center"/>
              <w:rPr>
                <w:rFonts w:ascii="Arial" w:hAnsi="Arial" w:cs="Arial"/>
                <w:sz w:val="20"/>
                <w:szCs w:val="20"/>
                <w:lang w:eastAsia="zh-CN"/>
              </w:rPr>
            </w:pPr>
            <w:r w:rsidRPr="00C518E3">
              <w:rPr>
                <w:rFonts w:ascii="Arial" w:hAnsi="Arial" w:cs="Arial"/>
                <w:sz w:val="20"/>
                <w:szCs w:val="20"/>
                <w:lang w:eastAsia="zh-CN"/>
              </w:rPr>
              <w:t>Reikalavimai Prekės atitikčiai nacionalinio saugumo interesams nurodyti Techninės specifikacijos 3 priede.</w:t>
            </w:r>
          </w:p>
        </w:tc>
        <w:tc>
          <w:tcPr>
            <w:tcW w:w="2522" w:type="pct"/>
            <w:vAlign w:val="center"/>
          </w:tcPr>
          <w:p w14:paraId="68108795" w14:textId="4EC63F51" w:rsidR="00D07A94" w:rsidRPr="00C518E3" w:rsidRDefault="00D07A94" w:rsidP="00EC6503">
            <w:pPr>
              <w:pStyle w:val="ListParagraph"/>
              <w:tabs>
                <w:tab w:val="left" w:pos="426"/>
              </w:tabs>
              <w:spacing w:line="276" w:lineRule="auto"/>
              <w:ind w:left="0"/>
              <w:jc w:val="both"/>
              <w:rPr>
                <w:rFonts w:ascii="Arial" w:hAnsi="Arial" w:cs="Arial"/>
                <w:sz w:val="20"/>
                <w:szCs w:val="20"/>
                <w:lang w:val="en-GB"/>
              </w:rPr>
            </w:pPr>
            <w:proofErr w:type="spellStart"/>
            <w:r w:rsidRPr="00C518E3">
              <w:rPr>
                <w:rFonts w:ascii="Arial" w:hAnsi="Arial" w:cs="Arial"/>
                <w:sz w:val="20"/>
                <w:szCs w:val="20"/>
                <w:lang w:eastAsia="zh-CN"/>
              </w:rPr>
              <w:t>Requirements</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for</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the</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compliance</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of</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Goods</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with</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the</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interests</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of</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national</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security</w:t>
            </w:r>
            <w:proofErr w:type="spellEnd"/>
            <w:r w:rsidRPr="00C518E3">
              <w:rPr>
                <w:rFonts w:ascii="Arial" w:hAnsi="Arial" w:cs="Arial"/>
                <w:sz w:val="20"/>
                <w:szCs w:val="20"/>
                <w:lang w:eastAsia="zh-CN"/>
              </w:rPr>
              <w:t xml:space="preserve"> are </w:t>
            </w:r>
            <w:proofErr w:type="spellStart"/>
            <w:r w:rsidRPr="00C518E3">
              <w:rPr>
                <w:rFonts w:ascii="Arial" w:hAnsi="Arial" w:cs="Arial"/>
                <w:sz w:val="20"/>
                <w:szCs w:val="20"/>
                <w:lang w:eastAsia="zh-CN"/>
              </w:rPr>
              <w:t>specified</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in</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Annex</w:t>
            </w:r>
            <w:proofErr w:type="spellEnd"/>
            <w:r w:rsidRPr="00C518E3">
              <w:rPr>
                <w:rFonts w:ascii="Arial" w:hAnsi="Arial" w:cs="Arial"/>
                <w:sz w:val="20"/>
                <w:szCs w:val="20"/>
                <w:lang w:eastAsia="zh-CN"/>
              </w:rPr>
              <w:t xml:space="preserve"> 3 to </w:t>
            </w:r>
            <w:proofErr w:type="spellStart"/>
            <w:r w:rsidRPr="00C518E3">
              <w:rPr>
                <w:rFonts w:ascii="Arial" w:hAnsi="Arial" w:cs="Arial"/>
                <w:sz w:val="20"/>
                <w:szCs w:val="20"/>
                <w:lang w:eastAsia="zh-CN"/>
              </w:rPr>
              <w:t>the</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Technical</w:t>
            </w:r>
            <w:proofErr w:type="spellEnd"/>
            <w:r w:rsidRPr="00C518E3">
              <w:rPr>
                <w:rFonts w:ascii="Arial" w:hAnsi="Arial" w:cs="Arial"/>
                <w:sz w:val="20"/>
                <w:szCs w:val="20"/>
                <w:lang w:eastAsia="zh-CN"/>
              </w:rPr>
              <w:t xml:space="preserve"> </w:t>
            </w:r>
            <w:proofErr w:type="spellStart"/>
            <w:r w:rsidRPr="00C518E3">
              <w:rPr>
                <w:rFonts w:ascii="Arial" w:hAnsi="Arial" w:cs="Arial"/>
                <w:sz w:val="20"/>
                <w:szCs w:val="20"/>
                <w:lang w:eastAsia="zh-CN"/>
              </w:rPr>
              <w:t>Specification</w:t>
            </w:r>
            <w:proofErr w:type="spellEnd"/>
            <w:r w:rsidRPr="00C518E3">
              <w:rPr>
                <w:rFonts w:ascii="Arial" w:hAnsi="Arial" w:cs="Arial"/>
                <w:sz w:val="20"/>
                <w:szCs w:val="20"/>
                <w:lang w:eastAsia="zh-CN"/>
              </w:rPr>
              <w:t>.</w:t>
            </w:r>
          </w:p>
        </w:tc>
      </w:tr>
      <w:tr w:rsidR="00D07A94" w:rsidRPr="00C518E3" w14:paraId="05E7F6B2" w14:textId="77777777" w:rsidTr="00EC6503">
        <w:trPr>
          <w:trHeight w:val="335"/>
        </w:trPr>
        <w:tc>
          <w:tcPr>
            <w:tcW w:w="194" w:type="pct"/>
            <w:vAlign w:val="center"/>
          </w:tcPr>
          <w:p w14:paraId="1DADD290" w14:textId="46D0441D" w:rsidR="00D07A94" w:rsidRPr="00C518E3" w:rsidRDefault="00D07A94" w:rsidP="00EC6503">
            <w:pPr>
              <w:spacing w:line="276" w:lineRule="auto"/>
              <w:jc w:val="center"/>
              <w:rPr>
                <w:rFonts w:ascii="Arial" w:hAnsi="Arial" w:cs="Arial"/>
                <w:b/>
                <w:bCs/>
                <w:sz w:val="20"/>
                <w:szCs w:val="20"/>
              </w:rPr>
            </w:pPr>
            <w:r w:rsidRPr="00C518E3">
              <w:rPr>
                <w:rFonts w:ascii="Arial" w:hAnsi="Arial" w:cs="Arial"/>
                <w:b/>
                <w:bCs/>
                <w:sz w:val="20"/>
                <w:szCs w:val="20"/>
              </w:rPr>
              <w:t xml:space="preserve">2. </w:t>
            </w:r>
          </w:p>
        </w:tc>
        <w:tc>
          <w:tcPr>
            <w:tcW w:w="2284" w:type="pct"/>
            <w:vAlign w:val="center"/>
          </w:tcPr>
          <w:p w14:paraId="3073A8F1" w14:textId="3C6F6D51" w:rsidR="00D07A94" w:rsidRPr="00C518E3" w:rsidRDefault="00D07A94" w:rsidP="00EC6503">
            <w:pPr>
              <w:spacing w:line="276" w:lineRule="auto"/>
              <w:rPr>
                <w:rFonts w:ascii="Arial" w:hAnsi="Arial" w:cs="Arial"/>
                <w:b/>
                <w:bCs/>
                <w:sz w:val="20"/>
                <w:szCs w:val="20"/>
              </w:rPr>
            </w:pPr>
            <w:r w:rsidRPr="00C518E3">
              <w:rPr>
                <w:rFonts w:ascii="Arial" w:hAnsi="Arial" w:cs="Arial"/>
                <w:b/>
                <w:bCs/>
                <w:sz w:val="20"/>
                <w:szCs w:val="20"/>
              </w:rPr>
              <w:t>Priedai:</w:t>
            </w:r>
          </w:p>
        </w:tc>
        <w:tc>
          <w:tcPr>
            <w:tcW w:w="2522" w:type="pct"/>
            <w:vAlign w:val="center"/>
          </w:tcPr>
          <w:p w14:paraId="6024FC17" w14:textId="0173CA85" w:rsidR="00D07A94" w:rsidRPr="00C518E3" w:rsidRDefault="00D07A94" w:rsidP="00EC6503">
            <w:pPr>
              <w:pStyle w:val="ListParagraph"/>
              <w:tabs>
                <w:tab w:val="left" w:pos="426"/>
              </w:tabs>
              <w:spacing w:line="276" w:lineRule="auto"/>
              <w:ind w:left="0"/>
              <w:rPr>
                <w:rFonts w:ascii="Arial" w:hAnsi="Arial" w:cs="Arial"/>
                <w:b/>
                <w:bCs/>
                <w:sz w:val="20"/>
                <w:szCs w:val="20"/>
                <w:lang w:val="en-GB"/>
              </w:rPr>
            </w:pPr>
            <w:r w:rsidRPr="00C518E3">
              <w:rPr>
                <w:rFonts w:ascii="Arial" w:hAnsi="Arial" w:cs="Arial"/>
                <w:b/>
                <w:bCs/>
                <w:sz w:val="20"/>
                <w:szCs w:val="20"/>
                <w:lang w:val="en-GB"/>
              </w:rPr>
              <w:t>Annexes:</w:t>
            </w:r>
          </w:p>
        </w:tc>
      </w:tr>
      <w:tr w:rsidR="0030144C" w:rsidRPr="00C518E3" w14:paraId="4B146C93" w14:textId="77777777" w:rsidTr="00D21D77">
        <w:tc>
          <w:tcPr>
            <w:tcW w:w="2478" w:type="pct"/>
            <w:gridSpan w:val="2"/>
            <w:vAlign w:val="center"/>
          </w:tcPr>
          <w:p w14:paraId="79D0A4AD" w14:textId="65D5D6AD" w:rsidR="0030144C" w:rsidRPr="00C518E3" w:rsidRDefault="00C51263" w:rsidP="00C518E3">
            <w:pPr>
              <w:spacing w:line="276" w:lineRule="auto"/>
              <w:jc w:val="both"/>
              <w:rPr>
                <w:rFonts w:ascii="Arial" w:hAnsi="Arial" w:cs="Arial"/>
                <w:sz w:val="20"/>
                <w:szCs w:val="20"/>
              </w:rPr>
            </w:pPr>
            <w:r w:rsidRPr="00C518E3">
              <w:rPr>
                <w:rFonts w:ascii="Arial" w:hAnsi="Arial" w:cs="Arial"/>
                <w:sz w:val="20"/>
                <w:szCs w:val="20"/>
              </w:rPr>
              <w:t xml:space="preserve">1 priedas – </w:t>
            </w:r>
            <w:r w:rsidR="00D21D77" w:rsidRPr="00C518E3">
              <w:rPr>
                <w:rFonts w:ascii="Arial" w:hAnsi="Arial" w:cs="Arial"/>
                <w:sz w:val="20"/>
                <w:szCs w:val="20"/>
              </w:rPr>
              <w:t>Standartiniai techniniai reikalavimai pirminių įrenginių techninių duomenų</w:t>
            </w:r>
            <w:r w:rsidR="00C518E3" w:rsidRPr="00C518E3">
              <w:rPr>
                <w:rFonts w:ascii="Arial" w:hAnsi="Arial" w:cs="Arial"/>
                <w:sz w:val="20"/>
                <w:szCs w:val="20"/>
              </w:rPr>
              <w:t xml:space="preserve"> </w:t>
            </w:r>
            <w:r w:rsidR="00D21D77" w:rsidRPr="00C518E3">
              <w:rPr>
                <w:rFonts w:ascii="Arial" w:hAnsi="Arial" w:cs="Arial"/>
                <w:sz w:val="20"/>
                <w:szCs w:val="20"/>
              </w:rPr>
              <w:t>lentelėms</w:t>
            </w:r>
            <w:r w:rsidR="00C518E3" w:rsidRPr="00C518E3">
              <w:rPr>
                <w:rFonts w:ascii="Arial" w:hAnsi="Arial" w:cs="Arial"/>
                <w:sz w:val="20"/>
                <w:szCs w:val="20"/>
              </w:rPr>
              <w:t>.</w:t>
            </w:r>
          </w:p>
        </w:tc>
        <w:tc>
          <w:tcPr>
            <w:tcW w:w="2522" w:type="pct"/>
            <w:vAlign w:val="bottom"/>
          </w:tcPr>
          <w:p w14:paraId="544A8D1D" w14:textId="193D1D24" w:rsidR="0030144C" w:rsidRPr="00C518E3" w:rsidRDefault="00D21D77" w:rsidP="00673C3B">
            <w:pPr>
              <w:spacing w:line="276" w:lineRule="auto"/>
              <w:jc w:val="both"/>
              <w:rPr>
                <w:rFonts w:ascii="Arial" w:hAnsi="Arial" w:cs="Arial"/>
                <w:sz w:val="20"/>
                <w:szCs w:val="20"/>
              </w:rPr>
            </w:pPr>
            <w:r w:rsidRPr="00C518E3">
              <w:rPr>
                <w:rFonts w:ascii="Arial" w:hAnsi="Arial" w:cs="Arial"/>
                <w:sz w:val="20"/>
                <w:szCs w:val="20"/>
                <w:lang w:val="en-GB"/>
              </w:rPr>
              <w:t>Annex</w:t>
            </w:r>
            <w:r w:rsidR="00C518E3">
              <w:rPr>
                <w:rFonts w:ascii="Arial" w:hAnsi="Arial" w:cs="Arial"/>
                <w:sz w:val="20"/>
                <w:szCs w:val="20"/>
                <w:lang w:val="en-GB"/>
              </w:rPr>
              <w:t xml:space="preserve"> </w:t>
            </w:r>
            <w:r w:rsidRPr="00C518E3">
              <w:rPr>
                <w:rFonts w:ascii="Arial" w:hAnsi="Arial" w:cs="Arial"/>
                <w:sz w:val="20"/>
                <w:szCs w:val="20"/>
                <w:lang w:val="en-GB"/>
              </w:rPr>
              <w:t>1 – S</w:t>
            </w:r>
            <w:proofErr w:type="spellStart"/>
            <w:r w:rsidRPr="00C518E3">
              <w:rPr>
                <w:rFonts w:ascii="Arial" w:hAnsi="Arial" w:cs="Arial"/>
                <w:sz w:val="20"/>
                <w:szCs w:val="20"/>
              </w:rPr>
              <w:t>tandard</w:t>
            </w:r>
            <w:proofErr w:type="spellEnd"/>
            <w:r w:rsidRPr="00C518E3">
              <w:rPr>
                <w:rFonts w:ascii="Arial" w:hAnsi="Arial" w:cs="Arial"/>
                <w:sz w:val="20"/>
                <w:szCs w:val="20"/>
              </w:rPr>
              <w:t xml:space="preserve"> </w:t>
            </w:r>
            <w:proofErr w:type="spellStart"/>
            <w:r w:rsidRPr="00C518E3">
              <w:rPr>
                <w:rFonts w:ascii="Arial" w:hAnsi="Arial" w:cs="Arial"/>
                <w:sz w:val="20"/>
                <w:szCs w:val="20"/>
              </w:rPr>
              <w:t>Technical</w:t>
            </w:r>
            <w:proofErr w:type="spellEnd"/>
            <w:r w:rsidRPr="00C518E3">
              <w:rPr>
                <w:rFonts w:ascii="Arial" w:hAnsi="Arial" w:cs="Arial"/>
                <w:sz w:val="20"/>
                <w:szCs w:val="20"/>
              </w:rPr>
              <w:t xml:space="preserve"> </w:t>
            </w:r>
            <w:proofErr w:type="spellStart"/>
            <w:r w:rsidRPr="00C518E3">
              <w:rPr>
                <w:rFonts w:ascii="Arial" w:hAnsi="Arial" w:cs="Arial"/>
                <w:sz w:val="20"/>
                <w:szCs w:val="20"/>
              </w:rPr>
              <w:t>Requirements</w:t>
            </w:r>
            <w:proofErr w:type="spellEnd"/>
            <w:r w:rsidRPr="00C518E3">
              <w:rPr>
                <w:rFonts w:ascii="Arial" w:hAnsi="Arial" w:cs="Arial"/>
                <w:sz w:val="20"/>
                <w:szCs w:val="20"/>
              </w:rPr>
              <w:t xml:space="preserve"> </w:t>
            </w:r>
            <w:proofErr w:type="spellStart"/>
            <w:r w:rsidRPr="00C518E3">
              <w:rPr>
                <w:rFonts w:ascii="Arial" w:hAnsi="Arial" w:cs="Arial"/>
                <w:sz w:val="20"/>
                <w:szCs w:val="20"/>
              </w:rPr>
              <w:t>for</w:t>
            </w:r>
            <w:proofErr w:type="spellEnd"/>
            <w:r w:rsidRPr="00C518E3">
              <w:rPr>
                <w:rFonts w:ascii="Arial" w:hAnsi="Arial" w:cs="Arial"/>
                <w:sz w:val="20"/>
                <w:szCs w:val="20"/>
              </w:rPr>
              <w:t xml:space="preserve"> </w:t>
            </w:r>
            <w:proofErr w:type="spellStart"/>
            <w:r w:rsidRPr="00C518E3">
              <w:rPr>
                <w:rFonts w:ascii="Arial" w:hAnsi="Arial" w:cs="Arial"/>
                <w:sz w:val="20"/>
                <w:szCs w:val="20"/>
              </w:rPr>
              <w:t>Nameplates</w:t>
            </w:r>
            <w:proofErr w:type="spellEnd"/>
            <w:r w:rsidRPr="00C518E3">
              <w:rPr>
                <w:rFonts w:ascii="Arial" w:hAnsi="Arial" w:cs="Arial"/>
                <w:sz w:val="20"/>
                <w:szCs w:val="20"/>
              </w:rPr>
              <w:t xml:space="preserve"> </w:t>
            </w:r>
            <w:proofErr w:type="spellStart"/>
            <w:r w:rsidRPr="00C518E3">
              <w:rPr>
                <w:rFonts w:ascii="Arial" w:hAnsi="Arial" w:cs="Arial"/>
                <w:sz w:val="20"/>
                <w:szCs w:val="20"/>
              </w:rPr>
              <w:t>of</w:t>
            </w:r>
            <w:proofErr w:type="spellEnd"/>
            <w:r w:rsidRPr="00C518E3">
              <w:rPr>
                <w:rFonts w:ascii="Arial" w:hAnsi="Arial" w:cs="Arial"/>
                <w:sz w:val="20"/>
                <w:szCs w:val="20"/>
              </w:rPr>
              <w:t xml:space="preserve"> </w:t>
            </w:r>
            <w:proofErr w:type="spellStart"/>
            <w:r w:rsidRPr="00C518E3">
              <w:rPr>
                <w:rFonts w:ascii="Arial" w:hAnsi="Arial" w:cs="Arial"/>
                <w:sz w:val="20"/>
                <w:szCs w:val="20"/>
              </w:rPr>
              <w:t>Primary</w:t>
            </w:r>
            <w:proofErr w:type="spellEnd"/>
            <w:r w:rsidR="00C518E3">
              <w:rPr>
                <w:rFonts w:ascii="Arial" w:hAnsi="Arial" w:cs="Arial"/>
                <w:sz w:val="20"/>
                <w:szCs w:val="20"/>
              </w:rPr>
              <w:t xml:space="preserve"> </w:t>
            </w:r>
            <w:proofErr w:type="spellStart"/>
            <w:r w:rsidRPr="00C518E3">
              <w:rPr>
                <w:rFonts w:ascii="Arial" w:hAnsi="Arial" w:cs="Arial"/>
                <w:sz w:val="20"/>
                <w:szCs w:val="20"/>
              </w:rPr>
              <w:t>Equipment</w:t>
            </w:r>
            <w:proofErr w:type="spellEnd"/>
            <w:r w:rsidRPr="00C518E3">
              <w:rPr>
                <w:rFonts w:ascii="Arial" w:hAnsi="Arial" w:cs="Arial"/>
                <w:sz w:val="20"/>
                <w:szCs w:val="20"/>
              </w:rPr>
              <w:t>.</w:t>
            </w:r>
          </w:p>
        </w:tc>
      </w:tr>
      <w:tr w:rsidR="0030144C" w:rsidRPr="00C518E3" w14:paraId="7F00D4F0" w14:textId="77777777" w:rsidTr="00D21D77">
        <w:tc>
          <w:tcPr>
            <w:tcW w:w="2478" w:type="pct"/>
            <w:gridSpan w:val="2"/>
            <w:vAlign w:val="center"/>
          </w:tcPr>
          <w:p w14:paraId="3FC20B75" w14:textId="1995E7BD" w:rsidR="0030144C" w:rsidRPr="00C518E3" w:rsidRDefault="00C51263" w:rsidP="00C518E3">
            <w:pPr>
              <w:spacing w:line="276" w:lineRule="auto"/>
              <w:jc w:val="both"/>
              <w:rPr>
                <w:rFonts w:ascii="Arial" w:hAnsi="Arial" w:cs="Arial"/>
                <w:sz w:val="20"/>
                <w:szCs w:val="20"/>
              </w:rPr>
            </w:pPr>
            <w:r w:rsidRPr="00C518E3">
              <w:rPr>
                <w:rFonts w:ascii="Arial" w:hAnsi="Arial" w:cs="Arial"/>
                <w:sz w:val="20"/>
                <w:szCs w:val="20"/>
              </w:rPr>
              <w:t xml:space="preserve">2 priedas – </w:t>
            </w:r>
            <w:r w:rsidR="00C518E3" w:rsidRPr="00C518E3">
              <w:rPr>
                <w:rFonts w:ascii="Arial" w:hAnsi="Arial" w:cs="Arial"/>
                <w:sz w:val="20"/>
                <w:szCs w:val="20"/>
              </w:rPr>
              <w:t xml:space="preserve">Techniniai reikalavimai 400 </w:t>
            </w:r>
            <w:proofErr w:type="spellStart"/>
            <w:r w:rsidR="00C518E3" w:rsidRPr="00C518E3">
              <w:rPr>
                <w:rFonts w:ascii="Arial" w:hAnsi="Arial" w:cs="Arial"/>
                <w:sz w:val="20"/>
                <w:szCs w:val="20"/>
              </w:rPr>
              <w:t>kv</w:t>
            </w:r>
            <w:proofErr w:type="spellEnd"/>
            <w:r w:rsidR="00C518E3" w:rsidRPr="00C518E3">
              <w:rPr>
                <w:rFonts w:ascii="Arial" w:hAnsi="Arial" w:cs="Arial"/>
                <w:sz w:val="20"/>
                <w:szCs w:val="20"/>
              </w:rPr>
              <w:t xml:space="preserve"> įtampos skyrikliams.</w:t>
            </w:r>
          </w:p>
        </w:tc>
        <w:tc>
          <w:tcPr>
            <w:tcW w:w="2522" w:type="pct"/>
            <w:vAlign w:val="bottom"/>
          </w:tcPr>
          <w:p w14:paraId="123E66F7" w14:textId="67B702D2" w:rsidR="0030144C" w:rsidRPr="00C518E3" w:rsidRDefault="00D21D77" w:rsidP="00673C3B">
            <w:pPr>
              <w:pStyle w:val="ListParagraph"/>
              <w:tabs>
                <w:tab w:val="left" w:pos="426"/>
              </w:tabs>
              <w:spacing w:line="276" w:lineRule="auto"/>
              <w:ind w:left="0"/>
              <w:jc w:val="both"/>
              <w:rPr>
                <w:rFonts w:ascii="Arial" w:hAnsi="Arial" w:cs="Arial"/>
                <w:sz w:val="20"/>
                <w:szCs w:val="20"/>
                <w:lang w:val="en-GB"/>
              </w:rPr>
            </w:pPr>
            <w:r w:rsidRPr="00C518E3">
              <w:rPr>
                <w:rFonts w:ascii="Arial" w:hAnsi="Arial" w:cs="Arial"/>
                <w:sz w:val="20"/>
                <w:szCs w:val="20"/>
                <w:lang w:val="en-GB"/>
              </w:rPr>
              <w:t xml:space="preserve">Annex 2 – </w:t>
            </w:r>
            <w:r w:rsidR="00C518E3" w:rsidRPr="00C518E3">
              <w:rPr>
                <w:rFonts w:ascii="Arial" w:hAnsi="Arial" w:cs="Arial"/>
                <w:sz w:val="20"/>
                <w:szCs w:val="20"/>
                <w:lang w:val="en-GB"/>
              </w:rPr>
              <w:t>Technical Requirements for 400 kV Voltage Disconnectors.</w:t>
            </w:r>
          </w:p>
        </w:tc>
      </w:tr>
      <w:tr w:rsidR="0030144C" w:rsidRPr="00C518E3" w14:paraId="2C378F9B" w14:textId="77777777" w:rsidTr="00D21D77">
        <w:tc>
          <w:tcPr>
            <w:tcW w:w="2478" w:type="pct"/>
            <w:gridSpan w:val="2"/>
            <w:vAlign w:val="center"/>
          </w:tcPr>
          <w:p w14:paraId="64CE556C" w14:textId="52619796" w:rsidR="0030144C" w:rsidRPr="00C518E3" w:rsidRDefault="00C51263" w:rsidP="00C518E3">
            <w:pPr>
              <w:spacing w:line="276" w:lineRule="auto"/>
              <w:jc w:val="both"/>
              <w:rPr>
                <w:rFonts w:ascii="Arial" w:hAnsi="Arial" w:cs="Arial"/>
                <w:sz w:val="20"/>
                <w:szCs w:val="20"/>
              </w:rPr>
            </w:pPr>
            <w:r w:rsidRPr="00C518E3">
              <w:rPr>
                <w:rFonts w:ascii="Arial" w:hAnsi="Arial" w:cs="Arial"/>
                <w:sz w:val="20"/>
                <w:szCs w:val="20"/>
              </w:rPr>
              <w:t>3</w:t>
            </w:r>
            <w:r w:rsidR="00673C3B">
              <w:rPr>
                <w:rFonts w:ascii="Arial" w:hAnsi="Arial" w:cs="Arial"/>
                <w:sz w:val="20"/>
                <w:szCs w:val="20"/>
              </w:rPr>
              <w:t xml:space="preserve"> </w:t>
            </w:r>
            <w:r w:rsidRPr="00C518E3">
              <w:rPr>
                <w:rFonts w:ascii="Arial" w:hAnsi="Arial" w:cs="Arial"/>
                <w:sz w:val="20"/>
                <w:szCs w:val="20"/>
              </w:rPr>
              <w:t xml:space="preserve">priedas – </w:t>
            </w:r>
            <w:r w:rsidR="00D21D77" w:rsidRPr="00C518E3">
              <w:rPr>
                <w:rFonts w:ascii="Arial" w:hAnsi="Arial" w:cs="Arial"/>
                <w:sz w:val="20"/>
                <w:szCs w:val="20"/>
              </w:rPr>
              <w:t>Reikalavimai pirkimo objekto atitikčiai nacionalinio saugumo interesams.</w:t>
            </w:r>
          </w:p>
        </w:tc>
        <w:tc>
          <w:tcPr>
            <w:tcW w:w="2522" w:type="pct"/>
            <w:vAlign w:val="bottom"/>
          </w:tcPr>
          <w:p w14:paraId="5AAFFADB" w14:textId="28C53830" w:rsidR="0030144C" w:rsidRPr="00C518E3" w:rsidRDefault="00D21D77" w:rsidP="00673C3B">
            <w:pPr>
              <w:pStyle w:val="ListParagraph"/>
              <w:tabs>
                <w:tab w:val="left" w:pos="426"/>
              </w:tabs>
              <w:spacing w:line="276" w:lineRule="auto"/>
              <w:ind w:left="0"/>
              <w:jc w:val="both"/>
              <w:rPr>
                <w:rFonts w:ascii="Arial" w:hAnsi="Arial" w:cs="Arial"/>
                <w:sz w:val="20"/>
                <w:szCs w:val="20"/>
                <w:lang w:val="en-GB"/>
              </w:rPr>
            </w:pPr>
            <w:r w:rsidRPr="00C518E3">
              <w:rPr>
                <w:rFonts w:ascii="Arial" w:hAnsi="Arial" w:cs="Arial"/>
                <w:sz w:val="20"/>
                <w:szCs w:val="20"/>
                <w:lang w:val="en-GB"/>
              </w:rPr>
              <w:t>Annex 3 – Requirements for the Compliance of the Procurement Object with the Interests of National security.</w:t>
            </w:r>
          </w:p>
        </w:tc>
      </w:tr>
    </w:tbl>
    <w:p w14:paraId="625161F4" w14:textId="23AD393F" w:rsidR="007D76C7" w:rsidRPr="00D54736" w:rsidRDefault="007D76C7" w:rsidP="00C518E3">
      <w:pPr>
        <w:rPr>
          <w:rFonts w:ascii="Arial" w:hAnsi="Arial" w:cs="Arial"/>
          <w:sz w:val="20"/>
          <w:szCs w:val="20"/>
        </w:rPr>
      </w:pPr>
    </w:p>
    <w:sectPr w:rsidR="007D76C7" w:rsidRPr="00D54736" w:rsidSect="00D07A94">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5E181" w14:textId="77777777" w:rsidR="00A1642F" w:rsidRDefault="00A1642F" w:rsidP="00792C08">
      <w:pPr>
        <w:spacing w:after="0" w:line="240" w:lineRule="auto"/>
      </w:pPr>
      <w:r>
        <w:separator/>
      </w:r>
    </w:p>
  </w:endnote>
  <w:endnote w:type="continuationSeparator" w:id="0">
    <w:p w14:paraId="670CA97D" w14:textId="77777777" w:rsidR="00A1642F" w:rsidRDefault="00A1642F" w:rsidP="00792C08">
      <w:pPr>
        <w:spacing w:after="0" w:line="240" w:lineRule="auto"/>
      </w:pPr>
      <w:r>
        <w:continuationSeparator/>
      </w:r>
    </w:p>
  </w:endnote>
  <w:endnote w:type="continuationNotice" w:id="1">
    <w:p w14:paraId="349BFE0D" w14:textId="77777777" w:rsidR="00E97EC4" w:rsidRDefault="00E97E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2F54" w14:textId="77777777" w:rsidR="00EC6503" w:rsidRDefault="00EC6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47DB" w14:textId="77777777" w:rsidR="00EC6503" w:rsidRDefault="00EC65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364638"/>
      <w:docPartObj>
        <w:docPartGallery w:val="Page Numbers (Bottom of Page)"/>
        <w:docPartUnique/>
      </w:docPartObj>
    </w:sdtPr>
    <w:sdtEndPr>
      <w:rPr>
        <w:rFonts w:ascii="Arial" w:hAnsi="Arial" w:cs="Arial"/>
      </w:rPr>
    </w:sdtEndPr>
    <w:sdtContent>
      <w:p w14:paraId="5E4A8EBD" w14:textId="1CBCE600" w:rsidR="009F5290" w:rsidRPr="009F5290" w:rsidRDefault="009F5290">
        <w:pPr>
          <w:pStyle w:val="Footer"/>
          <w:jc w:val="center"/>
          <w:rPr>
            <w:rFonts w:ascii="Arial" w:hAnsi="Arial" w:cs="Arial"/>
          </w:rPr>
        </w:pPr>
        <w:r w:rsidRPr="009F5290">
          <w:rPr>
            <w:rFonts w:ascii="Arial" w:hAnsi="Arial" w:cs="Arial"/>
          </w:rPr>
          <w:fldChar w:fldCharType="begin"/>
        </w:r>
        <w:r w:rsidRPr="009F5290">
          <w:rPr>
            <w:rFonts w:ascii="Arial" w:hAnsi="Arial" w:cs="Arial"/>
          </w:rPr>
          <w:instrText>PAGE   \* MERGEFORMAT</w:instrText>
        </w:r>
        <w:r w:rsidRPr="009F5290">
          <w:rPr>
            <w:rFonts w:ascii="Arial" w:hAnsi="Arial" w:cs="Arial"/>
          </w:rPr>
          <w:fldChar w:fldCharType="separate"/>
        </w:r>
        <w:r w:rsidRPr="009F5290">
          <w:rPr>
            <w:rFonts w:ascii="Arial" w:hAnsi="Arial" w:cs="Arial"/>
          </w:rPr>
          <w:t>2</w:t>
        </w:r>
        <w:r w:rsidRPr="009F5290">
          <w:rPr>
            <w:rFonts w:ascii="Arial" w:hAnsi="Arial" w:cs="Arial"/>
          </w:rPr>
          <w:fldChar w:fldCharType="end"/>
        </w:r>
      </w:p>
    </w:sdtContent>
  </w:sdt>
  <w:p w14:paraId="729F2490" w14:textId="77777777" w:rsidR="009F5290" w:rsidRDefault="009F5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9055C" w14:textId="77777777" w:rsidR="00A1642F" w:rsidRDefault="00A1642F" w:rsidP="00792C08">
      <w:pPr>
        <w:spacing w:after="0" w:line="240" w:lineRule="auto"/>
      </w:pPr>
      <w:r>
        <w:separator/>
      </w:r>
    </w:p>
  </w:footnote>
  <w:footnote w:type="continuationSeparator" w:id="0">
    <w:p w14:paraId="0CD6CB75" w14:textId="77777777" w:rsidR="00A1642F" w:rsidRDefault="00A1642F" w:rsidP="00792C08">
      <w:pPr>
        <w:spacing w:after="0" w:line="240" w:lineRule="auto"/>
      </w:pPr>
      <w:r>
        <w:continuationSeparator/>
      </w:r>
    </w:p>
  </w:footnote>
  <w:footnote w:type="continuationNotice" w:id="1">
    <w:p w14:paraId="3A8F87BB" w14:textId="77777777" w:rsidR="00E97EC4" w:rsidRDefault="00E97E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9D469" w14:textId="77777777" w:rsidR="00EC6503" w:rsidRDefault="00EC6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4F346" w14:textId="77777777" w:rsidR="00EC6503" w:rsidRDefault="00EC65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63AB" w14:textId="7DF4470A" w:rsidR="001F21EE" w:rsidRPr="003A42A3" w:rsidRDefault="001F21EE" w:rsidP="001F21EE">
    <w:pPr>
      <w:pStyle w:val="Subtitle"/>
      <w:spacing w:before="60" w:after="60"/>
      <w:jc w:val="right"/>
      <w:rPr>
        <w:rFonts w:ascii="Arial" w:hAnsi="Arial" w:cs="Arial"/>
        <w:bCs/>
        <w:color w:val="FF0000"/>
        <w:sz w:val="20"/>
        <w:szCs w:val="20"/>
        <w:u w:val="none"/>
        <w:lang w:val="lt-LT"/>
      </w:rPr>
    </w:pPr>
    <w:r w:rsidRPr="003A42A3">
      <w:rPr>
        <w:rFonts w:ascii="Arial" w:hAnsi="Arial" w:cs="Arial"/>
        <w:bCs/>
        <w:sz w:val="20"/>
        <w:szCs w:val="20"/>
        <w:u w:val="none"/>
        <w:lang w:val="lt-LT"/>
      </w:rPr>
      <w:t>SPS</w:t>
    </w:r>
    <w:r>
      <w:rPr>
        <w:rFonts w:ascii="Arial" w:hAnsi="Arial" w:cs="Arial"/>
        <w:bCs/>
        <w:sz w:val="20"/>
        <w:szCs w:val="20"/>
        <w:u w:val="none"/>
        <w:lang w:val="lt-LT"/>
      </w:rPr>
      <w:t xml:space="preserve"> </w:t>
    </w:r>
    <w:r w:rsidR="00F47A64">
      <w:rPr>
        <w:rFonts w:ascii="Arial" w:hAnsi="Arial" w:cs="Arial"/>
        <w:bCs/>
        <w:sz w:val="20"/>
        <w:szCs w:val="20"/>
        <w:u w:val="none"/>
        <w:lang w:val="lt-LT"/>
      </w:rPr>
      <w:t>4</w:t>
    </w:r>
    <w:r w:rsidRPr="003A42A3">
      <w:rPr>
        <w:rFonts w:ascii="Arial" w:hAnsi="Arial" w:cs="Arial"/>
        <w:bCs/>
        <w:sz w:val="20"/>
        <w:szCs w:val="20"/>
        <w:u w:val="none"/>
        <w:lang w:val="lt-LT"/>
      </w:rPr>
      <w:t xml:space="preserve"> priedas /</w:t>
    </w:r>
    <w:r w:rsidR="00EC6503">
      <w:rPr>
        <w:rFonts w:ascii="Arial" w:hAnsi="Arial" w:cs="Arial"/>
        <w:bCs/>
        <w:sz w:val="20"/>
        <w:szCs w:val="20"/>
        <w:u w:val="none"/>
        <w:lang w:val="lt-LT"/>
      </w:rPr>
      <w:t xml:space="preserve"> </w:t>
    </w:r>
    <w:r w:rsidRPr="003A42A3">
      <w:rPr>
        <w:rFonts w:ascii="Arial" w:hAnsi="Arial" w:cs="Arial"/>
        <w:bCs/>
        <w:sz w:val="20"/>
        <w:szCs w:val="20"/>
        <w:u w:val="none"/>
      </w:rPr>
      <w:t xml:space="preserve">Annex </w:t>
    </w:r>
    <w:r w:rsidR="00F47A64">
      <w:rPr>
        <w:rFonts w:ascii="Arial" w:hAnsi="Arial" w:cs="Arial"/>
        <w:bCs/>
        <w:sz w:val="20"/>
        <w:szCs w:val="20"/>
        <w:u w:val="none"/>
      </w:rPr>
      <w:t>4</w:t>
    </w:r>
    <w:r w:rsidRPr="003A42A3">
      <w:rPr>
        <w:rFonts w:ascii="Arial" w:hAnsi="Arial" w:cs="Arial"/>
        <w:bCs/>
        <w:sz w:val="20"/>
        <w:szCs w:val="20"/>
        <w:u w:val="none"/>
      </w:rPr>
      <w:t xml:space="preserve"> to</w:t>
    </w:r>
    <w:r w:rsidRPr="003A42A3">
      <w:rPr>
        <w:rFonts w:ascii="Arial" w:hAnsi="Arial" w:cs="Arial"/>
        <w:bCs/>
        <w:sz w:val="20"/>
        <w:szCs w:val="20"/>
        <w:u w:val="none"/>
        <w:lang w:val="lt-LT"/>
      </w:rPr>
      <w:t xml:space="preserve"> </w:t>
    </w:r>
    <w:proofErr w:type="spellStart"/>
    <w:r w:rsidRPr="003A42A3">
      <w:rPr>
        <w:rFonts w:ascii="Arial" w:hAnsi="Arial" w:cs="Arial"/>
        <w:bCs/>
        <w:sz w:val="20"/>
        <w:szCs w:val="20"/>
        <w:u w:val="none"/>
        <w:lang w:val="lt-LT"/>
      </w:rPr>
      <w:t>the</w:t>
    </w:r>
    <w:proofErr w:type="spellEnd"/>
    <w:r w:rsidRPr="003A42A3">
      <w:rPr>
        <w:rFonts w:ascii="Arial" w:hAnsi="Arial" w:cs="Arial"/>
        <w:bCs/>
        <w:sz w:val="20"/>
        <w:szCs w:val="20"/>
        <w:u w:val="none"/>
        <w:lang w:val="lt-LT"/>
      </w:rPr>
      <w:t xml:space="preserve"> SPC</w:t>
    </w:r>
  </w:p>
  <w:p w14:paraId="3D0BBD2F" w14:textId="05F52737" w:rsidR="003C085F" w:rsidRPr="003C085F" w:rsidRDefault="003C085F" w:rsidP="003C0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932"/>
    <w:multiLevelType w:val="multilevel"/>
    <w:tmpl w:val="9CA289E6"/>
    <w:lvl w:ilvl="0">
      <w:start w:val="1"/>
      <w:numFmt w:val="decimal"/>
      <w:lvlText w:val="%1."/>
      <w:lvlJc w:val="left"/>
      <w:pPr>
        <w:ind w:left="4188" w:hanging="360"/>
      </w:pPr>
      <w:rPr>
        <w:rFonts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4761F8"/>
    <w:multiLevelType w:val="multilevel"/>
    <w:tmpl w:val="7CD2F13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2B9649D"/>
    <w:multiLevelType w:val="multilevel"/>
    <w:tmpl w:val="DAEABE66"/>
    <w:lvl w:ilvl="0">
      <w:start w:val="1"/>
      <w:numFmt w:val="decimal"/>
      <w:lvlText w:val="%1."/>
      <w:lvlJc w:val="left"/>
      <w:pPr>
        <w:ind w:left="4188" w:hanging="360"/>
      </w:pPr>
      <w:rPr>
        <w:rFonts w:cs="Times New Roman"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6.%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71B24A8"/>
    <w:multiLevelType w:val="multilevel"/>
    <w:tmpl w:val="F74CE2B0"/>
    <w:lvl w:ilvl="0">
      <w:start w:val="1"/>
      <w:numFmt w:val="decimal"/>
      <w:lvlText w:val="%1."/>
      <w:lvlJc w:val="left"/>
      <w:pPr>
        <w:ind w:left="4188" w:hanging="360"/>
      </w:pPr>
      <w:rPr>
        <w:rFonts w:cs="Times New Roman" w:hint="default"/>
      </w:rPr>
    </w:lvl>
    <w:lvl w:ilvl="1">
      <w:start w:val="1"/>
      <w:numFmt w:val="decimal"/>
      <w:lvlText w:val="%1.%2."/>
      <w:lvlJc w:val="left"/>
      <w:pPr>
        <w:ind w:left="1080" w:hanging="720"/>
      </w:pPr>
      <w:rPr>
        <w:rFonts w:cs="Times New Roman"/>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601311E7"/>
    <w:multiLevelType w:val="multilevel"/>
    <w:tmpl w:val="66BC9720"/>
    <w:lvl w:ilvl="0">
      <w:start w:val="1"/>
      <w:numFmt w:val="decimal"/>
      <w:lvlText w:val="%1."/>
      <w:lvlJc w:val="left"/>
      <w:pPr>
        <w:ind w:left="4188" w:hanging="360"/>
      </w:pPr>
      <w:rPr>
        <w:rFonts w:hint="default"/>
      </w:rPr>
    </w:lvl>
    <w:lvl w:ilvl="1">
      <w:start w:val="1"/>
      <w:numFmt w:val="decimal"/>
      <w:isLgl/>
      <w:lvlText w:val="%1.%2."/>
      <w:lvlJc w:val="left"/>
      <w:pPr>
        <w:ind w:left="1854"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9585710">
    <w:abstractNumId w:val="4"/>
  </w:num>
  <w:num w:numId="2" w16cid:durableId="1766219311">
    <w:abstractNumId w:val="1"/>
  </w:num>
  <w:num w:numId="3" w16cid:durableId="548998743">
    <w:abstractNumId w:val="0"/>
  </w:num>
  <w:num w:numId="4" w16cid:durableId="1418870242">
    <w:abstractNumId w:val="3"/>
  </w:num>
  <w:num w:numId="5" w16cid:durableId="589462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8"/>
    <w:rsid w:val="00006D9A"/>
    <w:rsid w:val="00024C72"/>
    <w:rsid w:val="000263EB"/>
    <w:rsid w:val="00026926"/>
    <w:rsid w:val="0003717E"/>
    <w:rsid w:val="0005784A"/>
    <w:rsid w:val="00091DCE"/>
    <w:rsid w:val="0009784D"/>
    <w:rsid w:val="000D68A7"/>
    <w:rsid w:val="000E3EA9"/>
    <w:rsid w:val="000E46E7"/>
    <w:rsid w:val="000F1911"/>
    <w:rsid w:val="00110D63"/>
    <w:rsid w:val="0011656F"/>
    <w:rsid w:val="001243F2"/>
    <w:rsid w:val="0014490C"/>
    <w:rsid w:val="00180B03"/>
    <w:rsid w:val="001A1EA1"/>
    <w:rsid w:val="001A3BE8"/>
    <w:rsid w:val="001F21EE"/>
    <w:rsid w:val="0021026F"/>
    <w:rsid w:val="0023303F"/>
    <w:rsid w:val="0024251C"/>
    <w:rsid w:val="002B7F20"/>
    <w:rsid w:val="002C45E2"/>
    <w:rsid w:val="002F2D1A"/>
    <w:rsid w:val="0030144C"/>
    <w:rsid w:val="00333D92"/>
    <w:rsid w:val="00337996"/>
    <w:rsid w:val="00391CC1"/>
    <w:rsid w:val="00392250"/>
    <w:rsid w:val="003A42A3"/>
    <w:rsid w:val="003B5042"/>
    <w:rsid w:val="003C085F"/>
    <w:rsid w:val="0040218D"/>
    <w:rsid w:val="00407FF5"/>
    <w:rsid w:val="00430435"/>
    <w:rsid w:val="00445EF8"/>
    <w:rsid w:val="004A1E4A"/>
    <w:rsid w:val="004B2CD8"/>
    <w:rsid w:val="004C06F2"/>
    <w:rsid w:val="004D4F93"/>
    <w:rsid w:val="005038FE"/>
    <w:rsid w:val="00511965"/>
    <w:rsid w:val="005424C1"/>
    <w:rsid w:val="005444E3"/>
    <w:rsid w:val="0056226C"/>
    <w:rsid w:val="00562ED2"/>
    <w:rsid w:val="0056333D"/>
    <w:rsid w:val="00567B7D"/>
    <w:rsid w:val="005A3DCA"/>
    <w:rsid w:val="005B5873"/>
    <w:rsid w:val="005D7598"/>
    <w:rsid w:val="0060306B"/>
    <w:rsid w:val="0061583D"/>
    <w:rsid w:val="0065350D"/>
    <w:rsid w:val="00673C3B"/>
    <w:rsid w:val="006749C0"/>
    <w:rsid w:val="00682CE5"/>
    <w:rsid w:val="006A6685"/>
    <w:rsid w:val="006B0895"/>
    <w:rsid w:val="006D589C"/>
    <w:rsid w:val="007050FB"/>
    <w:rsid w:val="00727FB8"/>
    <w:rsid w:val="00734539"/>
    <w:rsid w:val="00741FED"/>
    <w:rsid w:val="00771412"/>
    <w:rsid w:val="00786AEB"/>
    <w:rsid w:val="00792C08"/>
    <w:rsid w:val="007B404A"/>
    <w:rsid w:val="007B6BFE"/>
    <w:rsid w:val="007D4853"/>
    <w:rsid w:val="007D76C7"/>
    <w:rsid w:val="007E20AA"/>
    <w:rsid w:val="008045E0"/>
    <w:rsid w:val="00814EF1"/>
    <w:rsid w:val="00820D1E"/>
    <w:rsid w:val="00824525"/>
    <w:rsid w:val="008528D0"/>
    <w:rsid w:val="0086486F"/>
    <w:rsid w:val="008A33EE"/>
    <w:rsid w:val="008A5363"/>
    <w:rsid w:val="008B4D6D"/>
    <w:rsid w:val="008C693C"/>
    <w:rsid w:val="008C6AFA"/>
    <w:rsid w:val="008D1271"/>
    <w:rsid w:val="008D29B6"/>
    <w:rsid w:val="008E41F0"/>
    <w:rsid w:val="00922378"/>
    <w:rsid w:val="009458A8"/>
    <w:rsid w:val="009518FE"/>
    <w:rsid w:val="0095357A"/>
    <w:rsid w:val="00956CBB"/>
    <w:rsid w:val="009619BF"/>
    <w:rsid w:val="00971189"/>
    <w:rsid w:val="009B25ED"/>
    <w:rsid w:val="009D415D"/>
    <w:rsid w:val="009D6098"/>
    <w:rsid w:val="009E0829"/>
    <w:rsid w:val="009F5290"/>
    <w:rsid w:val="00A1642F"/>
    <w:rsid w:val="00A27A2A"/>
    <w:rsid w:val="00A3735D"/>
    <w:rsid w:val="00A570D2"/>
    <w:rsid w:val="00A62FE8"/>
    <w:rsid w:val="00A6358F"/>
    <w:rsid w:val="00A952DE"/>
    <w:rsid w:val="00AA374F"/>
    <w:rsid w:val="00AD4B11"/>
    <w:rsid w:val="00B02AA8"/>
    <w:rsid w:val="00B216B4"/>
    <w:rsid w:val="00B40CD5"/>
    <w:rsid w:val="00B43ADB"/>
    <w:rsid w:val="00B43E95"/>
    <w:rsid w:val="00B460E7"/>
    <w:rsid w:val="00B546A5"/>
    <w:rsid w:val="00B62CAD"/>
    <w:rsid w:val="00B812C8"/>
    <w:rsid w:val="00BC7D7F"/>
    <w:rsid w:val="00BD2DA2"/>
    <w:rsid w:val="00BE702D"/>
    <w:rsid w:val="00C1077D"/>
    <w:rsid w:val="00C51263"/>
    <w:rsid w:val="00C518E3"/>
    <w:rsid w:val="00C57E81"/>
    <w:rsid w:val="00CA6E83"/>
    <w:rsid w:val="00CB39F5"/>
    <w:rsid w:val="00CB3A48"/>
    <w:rsid w:val="00CE584E"/>
    <w:rsid w:val="00CE668E"/>
    <w:rsid w:val="00CF4B97"/>
    <w:rsid w:val="00D07A94"/>
    <w:rsid w:val="00D132F6"/>
    <w:rsid w:val="00D20922"/>
    <w:rsid w:val="00D21D77"/>
    <w:rsid w:val="00D54736"/>
    <w:rsid w:val="00D572B3"/>
    <w:rsid w:val="00D76405"/>
    <w:rsid w:val="00D81606"/>
    <w:rsid w:val="00DA4347"/>
    <w:rsid w:val="00DB02F6"/>
    <w:rsid w:val="00DB6DF6"/>
    <w:rsid w:val="00DC4CDE"/>
    <w:rsid w:val="00DD1AE4"/>
    <w:rsid w:val="00DE2AD1"/>
    <w:rsid w:val="00E47AA7"/>
    <w:rsid w:val="00E55870"/>
    <w:rsid w:val="00E64561"/>
    <w:rsid w:val="00E74032"/>
    <w:rsid w:val="00E90A29"/>
    <w:rsid w:val="00E97EC4"/>
    <w:rsid w:val="00EC6503"/>
    <w:rsid w:val="00EF0E23"/>
    <w:rsid w:val="00EF3B9B"/>
    <w:rsid w:val="00EF78E1"/>
    <w:rsid w:val="00F05FE8"/>
    <w:rsid w:val="00F06580"/>
    <w:rsid w:val="00F10934"/>
    <w:rsid w:val="00F15A06"/>
    <w:rsid w:val="00F16523"/>
    <w:rsid w:val="00F245BC"/>
    <w:rsid w:val="00F47A64"/>
    <w:rsid w:val="00F63E7E"/>
    <w:rsid w:val="00F65B51"/>
    <w:rsid w:val="00FC29F1"/>
    <w:rsid w:val="00FE5697"/>
    <w:rsid w:val="00FF4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20B5C"/>
  <w15:chartTrackingRefBased/>
  <w15:docId w15:val="{417DE969-EED6-4E54-94E8-409439D9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792C08"/>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792C08"/>
    <w:rPr>
      <w:rFonts w:ascii="Times New Roman" w:eastAsia="Times New Roman" w:hAnsi="Times New Roman" w:cs="Times New Roman"/>
      <w:sz w:val="24"/>
      <w:szCs w:val="24"/>
      <w:u w:val="single"/>
      <w:lang w:val="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8C6AF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8C6AFA"/>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C6AF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C6AFA"/>
    <w:rPr>
      <w:rFonts w:ascii="Times New Roman" w:eastAsia="Times New Roman" w:hAnsi="Times New Roman" w:cs="Times New Roman"/>
      <w:sz w:val="20"/>
      <w:szCs w:val="20"/>
    </w:rPr>
  </w:style>
  <w:style w:type="character" w:styleId="FootnoteReference">
    <w:name w:val="footnote reference"/>
    <w:aliases w:val="fr"/>
    <w:basedOn w:val="DefaultParagraphFont"/>
    <w:rsid w:val="008C6AFA"/>
    <w:rPr>
      <w:vertAlign w:val="superscript"/>
    </w:rPr>
  </w:style>
  <w:style w:type="character" w:customStyle="1" w:styleId="FontStyle15">
    <w:name w:val="Font Style15"/>
    <w:basedOn w:val="DefaultParagraphFont"/>
    <w:uiPriority w:val="99"/>
    <w:rsid w:val="007D76C7"/>
    <w:rPr>
      <w:rFonts w:ascii="Times New Roman" w:hAnsi="Times New Roman" w:cs="Times New Roman"/>
      <w:sz w:val="20"/>
      <w:szCs w:val="20"/>
    </w:rPr>
  </w:style>
  <w:style w:type="paragraph" w:styleId="Header">
    <w:name w:val="header"/>
    <w:basedOn w:val="Normal"/>
    <w:link w:val="HeaderChar"/>
    <w:uiPriority w:val="99"/>
    <w:unhideWhenUsed/>
    <w:rsid w:val="003C08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085F"/>
  </w:style>
  <w:style w:type="paragraph" w:styleId="Footer">
    <w:name w:val="footer"/>
    <w:basedOn w:val="Normal"/>
    <w:link w:val="FooterChar"/>
    <w:uiPriority w:val="99"/>
    <w:unhideWhenUsed/>
    <w:rsid w:val="003C08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085F"/>
  </w:style>
  <w:style w:type="character" w:styleId="CommentReference">
    <w:name w:val="annotation reference"/>
    <w:basedOn w:val="DefaultParagraphFont"/>
    <w:uiPriority w:val="99"/>
    <w:unhideWhenUsed/>
    <w:rsid w:val="005038FE"/>
    <w:rPr>
      <w:sz w:val="16"/>
      <w:szCs w:val="16"/>
    </w:rPr>
  </w:style>
  <w:style w:type="paragraph" w:styleId="CommentText">
    <w:name w:val="annotation text"/>
    <w:basedOn w:val="Normal"/>
    <w:link w:val="CommentTextChar"/>
    <w:uiPriority w:val="99"/>
    <w:unhideWhenUsed/>
    <w:rsid w:val="005038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38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02F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B02F6"/>
    <w:rPr>
      <w:rFonts w:ascii="Times New Roman" w:eastAsia="Times New Roman" w:hAnsi="Times New Roman" w:cs="Times New Roman"/>
      <w:b/>
      <w:bCs/>
      <w:sz w:val="20"/>
      <w:szCs w:val="20"/>
    </w:rPr>
  </w:style>
  <w:style w:type="character" w:styleId="Hyperlink">
    <w:name w:val="Hyperlink"/>
    <w:aliases w:val="Alna"/>
    <w:basedOn w:val="DefaultParagraphFont"/>
    <w:uiPriority w:val="99"/>
    <w:rsid w:val="007E20AA"/>
    <w:rPr>
      <w:color w:val="auto"/>
      <w:u w:val="none"/>
    </w:rPr>
  </w:style>
  <w:style w:type="character" w:customStyle="1" w:styleId="y2iqfc">
    <w:name w:val="y2iqfc"/>
    <w:basedOn w:val="DefaultParagraphFont"/>
    <w:rsid w:val="00A6358F"/>
  </w:style>
  <w:style w:type="paragraph" w:styleId="Revision">
    <w:name w:val="Revision"/>
    <w:hidden/>
    <w:uiPriority w:val="99"/>
    <w:semiHidden/>
    <w:rsid w:val="00EF0E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760040">
      <w:bodyDiv w:val="1"/>
      <w:marLeft w:val="0"/>
      <w:marRight w:val="0"/>
      <w:marTop w:val="0"/>
      <w:marBottom w:val="0"/>
      <w:divBdr>
        <w:top w:val="none" w:sz="0" w:space="0" w:color="auto"/>
        <w:left w:val="none" w:sz="0" w:space="0" w:color="auto"/>
        <w:bottom w:val="none" w:sz="0" w:space="0" w:color="auto"/>
        <w:right w:val="none" w:sz="0" w:space="0" w:color="auto"/>
      </w:divBdr>
    </w:div>
    <w:div w:id="173149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B9D79-8160-4F00-B774-2F810031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1874</Words>
  <Characters>1069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Sandra Stokytė</cp:lastModifiedBy>
  <cp:revision>139</cp:revision>
  <dcterms:created xsi:type="dcterms:W3CDTF">2022-04-05T12:39:00Z</dcterms:created>
  <dcterms:modified xsi:type="dcterms:W3CDTF">2022-10-17T10:19:00Z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2022-04-05T12:41:30Z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d6e18bc8-ed2d-4e9b-a376-3f2f285c3485</vt:lpwstr>
  </property>
  <property fmtid="{D5CDD505-2E9C-101B-9397-08002B2CF9AE}" pid="8" name="MSIP_Label_32ae7b5d-0aac-474b-ae2b-02c331ef2874_ContentBits">
    <vt:lpwstr>0</vt:lpwstr>
  </property>
</Properties>
</file>