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314E2E84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91FD6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>R</w:t>
      </w:r>
      <w:r w:rsidR="009E40ED" w:rsidRPr="00221796">
        <w:rPr>
          <w:rFonts w:cs="Arial"/>
          <w:sz w:val="20"/>
          <w:szCs w:val="20"/>
        </w:rPr>
        <w:t>inkodaros valdymo konsultacinės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0B22E8">
        <w:rPr>
          <w:rFonts w:cs="Arial"/>
          <w:sz w:val="20"/>
          <w:szCs w:val="20"/>
        </w:rPr>
        <w:t>.</w:t>
      </w:r>
    </w:p>
    <w:p w14:paraId="0CFCDEB6" w14:textId="1F5B54B9" w:rsidR="00A537EF" w:rsidRPr="00D00AD9" w:rsidRDefault="00F60683" w:rsidP="00A537E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sz w:val="20"/>
          <w:szCs w:val="20"/>
        </w:rPr>
        <w:t>Pirkėjas</w:t>
      </w:r>
      <w:r w:rsidR="00C56F19">
        <w:rPr>
          <w:rFonts w:cs="Arial"/>
          <w:b/>
          <w:sz w:val="20"/>
          <w:szCs w:val="20"/>
        </w:rPr>
        <w:t xml:space="preserve"> arba Bendrovė</w:t>
      </w:r>
      <w:r w:rsidR="00085A74" w:rsidRPr="00A537EF">
        <w:rPr>
          <w:rFonts w:cs="Arial"/>
          <w:b/>
          <w:sz w:val="20"/>
          <w:szCs w:val="20"/>
        </w:rPr>
        <w:t xml:space="preserve"> </w:t>
      </w:r>
      <w:r w:rsidR="00085A74" w:rsidRPr="00A537EF">
        <w:rPr>
          <w:rFonts w:cs="Arial"/>
          <w:sz w:val="20"/>
          <w:szCs w:val="20"/>
        </w:rPr>
        <w:t>–</w:t>
      </w:r>
      <w:r w:rsidR="00DE6560" w:rsidRPr="00A537EF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885A40536C59438CA4D94962A225F45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7763B9">
            <w:t>AB „Ignitis grupė“</w:t>
          </w:r>
        </w:sdtContent>
      </w:sdt>
      <w:bookmarkEnd w:id="0"/>
      <w:r w:rsidR="000B22E8">
        <w:t>.</w:t>
      </w:r>
    </w:p>
    <w:p w14:paraId="637E3650" w14:textId="5BF8A762" w:rsidR="00085A74" w:rsidRPr="00A537EF" w:rsidRDefault="00085A74" w:rsidP="0078338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bCs/>
          <w:sz w:val="20"/>
          <w:szCs w:val="20"/>
        </w:rPr>
        <w:t>Tiekėjas</w:t>
      </w:r>
      <w:r w:rsidRPr="00A537EF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A537EF">
        <w:rPr>
          <w:rFonts w:cs="Arial"/>
          <w:sz w:val="20"/>
          <w:szCs w:val="20"/>
        </w:rPr>
        <w:t xml:space="preserve"> grupė.</w:t>
      </w:r>
      <w:r w:rsidR="00166AD8" w:rsidRPr="00A537EF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C7A2835" w:rsidR="00CE17F8" w:rsidRPr="00D00AD9" w:rsidRDefault="00CD0AF5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Pirkimo objektas – Techninės specifikacijos 1.1. p. nurodytos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17D29DA6" w:rsidR="004020B0" w:rsidRDefault="00430ED8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C56F1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C56F1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D81392" w:rsidRPr="00D81392">
        <w:rPr>
          <w:rFonts w:cs="Arial"/>
          <w:b/>
          <w:sz w:val="20"/>
          <w:szCs w:val="20"/>
        </w:rPr>
        <w:t>2</w:t>
      </w:r>
      <w:r w:rsidR="0001043C">
        <w:rPr>
          <w:rFonts w:cs="Arial"/>
          <w:b/>
          <w:sz w:val="20"/>
          <w:szCs w:val="20"/>
        </w:rPr>
        <w:t>20</w:t>
      </w:r>
      <w:r w:rsidR="00007B5C">
        <w:rPr>
          <w:rFonts w:cs="Arial"/>
          <w:b/>
          <w:sz w:val="20"/>
          <w:szCs w:val="20"/>
        </w:rPr>
        <w:t> </w:t>
      </w:r>
      <w:r w:rsidR="00D81392" w:rsidRPr="00D81392">
        <w:rPr>
          <w:rFonts w:cs="Arial"/>
          <w:b/>
          <w:sz w:val="20"/>
          <w:szCs w:val="20"/>
        </w:rPr>
        <w:t>000</w:t>
      </w:r>
      <w:r w:rsidR="00007B5C">
        <w:rPr>
          <w:rFonts w:cs="Arial"/>
          <w:b/>
          <w:sz w:val="20"/>
          <w:szCs w:val="20"/>
        </w:rPr>
        <w:t>,00</w:t>
      </w:r>
      <w:r w:rsidRPr="00D81392">
        <w:rPr>
          <w:rFonts w:cs="Arial"/>
          <w:b/>
          <w:sz w:val="20"/>
          <w:szCs w:val="20"/>
        </w:rPr>
        <w:t xml:space="preserve"> </w:t>
      </w:r>
      <w:r w:rsidRPr="004020B0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0006F81F" w14:textId="6E989DB2" w:rsidR="004020B0" w:rsidRDefault="004020B0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 xml:space="preserve">Galutinė kaina, kurią Bendrovė sumokės Tiekėjui vykdant </w:t>
      </w:r>
      <w:r w:rsidR="00F47231">
        <w:rPr>
          <w:rFonts w:cs="Arial"/>
          <w:bCs/>
          <w:sz w:val="20"/>
          <w:szCs w:val="20"/>
        </w:rPr>
        <w:t>S</w:t>
      </w:r>
      <w:r w:rsidRPr="004020B0">
        <w:rPr>
          <w:rFonts w:cs="Arial"/>
          <w:bCs/>
          <w:sz w:val="20"/>
          <w:szCs w:val="20"/>
        </w:rPr>
        <w:t>utartį</w:t>
      </w:r>
      <w:r w:rsidR="00C56F1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C56F1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C56F19">
        <w:rPr>
          <w:rFonts w:cs="Arial"/>
          <w:bCs/>
          <w:sz w:val="20"/>
          <w:szCs w:val="20"/>
        </w:rPr>
        <w:t>Pirkėju</w:t>
      </w:r>
      <w:r w:rsidR="00C56F1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0A36FBCB" w14:textId="77777777" w:rsidR="008D31D6" w:rsidRPr="004020B0" w:rsidRDefault="008D31D6" w:rsidP="008D31D6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57F2123B" w14:textId="1272C7B1" w:rsidR="002B4BC7" w:rsidRDefault="00C56F19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Rinkodaros valdymo konsultacinių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588"/>
        <w:gridCol w:w="2551"/>
      </w:tblGrid>
      <w:tr w:rsidR="000819AB" w:rsidRPr="00600808" w14:paraId="235A4DA3" w14:textId="77777777" w:rsidTr="00B91FD6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88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B91FD6">
        <w:trPr>
          <w:trHeight w:val="330"/>
        </w:trPr>
        <w:tc>
          <w:tcPr>
            <w:tcW w:w="500" w:type="dxa"/>
            <w:vAlign w:val="center"/>
          </w:tcPr>
          <w:p w14:paraId="5A6126A7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5C14B699" w14:textId="5B826E2F" w:rsidR="000819AB" w:rsidRPr="00600808" w:rsidRDefault="00C56F19" w:rsidP="009E40ED">
            <w:pPr>
              <w:ind w:left="63"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="009E40ED" w:rsidRPr="00221796">
              <w:rPr>
                <w:rFonts w:cs="Arial"/>
                <w:sz w:val="20"/>
                <w:szCs w:val="20"/>
              </w:rPr>
              <w:t>inkodaros valdymo konsultacinės</w:t>
            </w:r>
            <w:r w:rsidR="009E40ED">
              <w:rPr>
                <w:rFonts w:cs="Arial"/>
                <w:sz w:val="20"/>
                <w:szCs w:val="20"/>
              </w:rPr>
              <w:t xml:space="preserve"> paslaugos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DF4EF" w14:textId="77777777" w:rsidR="000819AB" w:rsidRPr="00600808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6454E5DF" w14:textId="77777777" w:rsidR="00C21607" w:rsidRDefault="00C21607" w:rsidP="00C2160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1B19163A" w14:textId="3816DF92" w:rsidR="00FC4D0B" w:rsidRPr="003E1F23" w:rsidRDefault="00FC4D0B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 xml:space="preserve">Rinkodaros </w:t>
      </w:r>
      <w:r>
        <w:rPr>
          <w:rFonts w:cs="Arial"/>
          <w:sz w:val="20"/>
          <w:szCs w:val="20"/>
        </w:rPr>
        <w:t>valdymo</w:t>
      </w:r>
      <w:r w:rsidRPr="003E1F23">
        <w:rPr>
          <w:rFonts w:cs="Arial"/>
          <w:bCs/>
          <w:sz w:val="20"/>
          <w:szCs w:val="20"/>
        </w:rPr>
        <w:t xml:space="preserve"> </w:t>
      </w:r>
      <w:r w:rsidR="00C56F19">
        <w:rPr>
          <w:rFonts w:cs="Arial"/>
          <w:bCs/>
          <w:sz w:val="20"/>
          <w:szCs w:val="20"/>
        </w:rPr>
        <w:t xml:space="preserve">konsultacines </w:t>
      </w:r>
      <w:r w:rsidRPr="003E1F23">
        <w:rPr>
          <w:rFonts w:cs="Arial"/>
          <w:bCs/>
          <w:sz w:val="20"/>
          <w:szCs w:val="20"/>
        </w:rPr>
        <w:t xml:space="preserve">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1FABB46F" w:rsidR="00BD35F8" w:rsidRPr="005C43BE" w:rsidRDefault="00BD35F8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C56F19">
        <w:rPr>
          <w:rFonts w:cs="Arial"/>
          <w:bCs/>
          <w:sz w:val="20"/>
          <w:szCs w:val="20"/>
        </w:rPr>
        <w:t xml:space="preserve">Rinkodaros </w:t>
      </w:r>
      <w:r>
        <w:rPr>
          <w:rFonts w:cs="Arial"/>
          <w:bCs/>
          <w:sz w:val="20"/>
          <w:szCs w:val="20"/>
        </w:rPr>
        <w:t>valdymo</w:t>
      </w:r>
      <w:r w:rsidR="00C56F19">
        <w:rPr>
          <w:rFonts w:cs="Arial"/>
          <w:bCs/>
          <w:sz w:val="20"/>
          <w:szCs w:val="20"/>
        </w:rPr>
        <w:t xml:space="preserve"> konsultacinių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1935CBDC" w:rsidR="003E1F23" w:rsidRPr="0090702B" w:rsidRDefault="00C56F1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Rinkodaros valdymo konsultacinės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10"/>
      </w:tblGrid>
      <w:tr w:rsidR="003E1F23" w:rsidRPr="0090702B" w14:paraId="4D7A0F3B" w14:textId="77777777" w:rsidTr="005C52E3">
        <w:trPr>
          <w:trHeight w:val="123"/>
        </w:trPr>
        <w:tc>
          <w:tcPr>
            <w:tcW w:w="9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FD14AE" w14:textId="44A39117" w:rsidR="00546929" w:rsidRDefault="00C56F1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54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1365"/>
              <w:gridCol w:w="2434"/>
              <w:gridCol w:w="5248"/>
            </w:tblGrid>
            <w:tr w:rsidR="005C52E3" w:rsidRPr="00FB3ABD" w14:paraId="6330F891" w14:textId="77777777" w:rsidTr="005C52E3">
              <w:trPr>
                <w:trHeight w:val="24"/>
              </w:trPr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  <w:vAlign w:val="center"/>
                  <w:hideMark/>
                </w:tcPr>
                <w:p w14:paraId="171AC2FA" w14:textId="77777777" w:rsidR="00FB3ABD" w:rsidRPr="00FB3ABD" w:rsidRDefault="00FB3ABD" w:rsidP="00FB3ABD">
                  <w:pPr>
                    <w:ind w:firstLine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  <w:vAlign w:val="center"/>
                  <w:hideMark/>
                </w:tcPr>
                <w:p w14:paraId="78B6B2FB" w14:textId="77777777" w:rsidR="00FB3ABD" w:rsidRPr="00FB3ABD" w:rsidRDefault="00FB3ABD" w:rsidP="00FB3ABD">
                  <w:pPr>
                    <w:ind w:firstLine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243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  <w:vAlign w:val="center"/>
                  <w:hideMark/>
                </w:tcPr>
                <w:p w14:paraId="13FD2FF0" w14:textId="77777777" w:rsidR="00FB3ABD" w:rsidRPr="00FB3ABD" w:rsidRDefault="00FB3ABD" w:rsidP="00FB3ABD">
                  <w:pPr>
                    <w:ind w:firstLine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524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  <w:vAlign w:val="center"/>
                  <w:hideMark/>
                </w:tcPr>
                <w:p w14:paraId="7324BB43" w14:textId="77777777" w:rsidR="00FB3ABD" w:rsidRPr="00FB3ABD" w:rsidRDefault="00FB3ABD" w:rsidP="00FB3ABD">
                  <w:pPr>
                    <w:ind w:firstLine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</w:tr>
            <w:tr w:rsidR="005C52E3" w:rsidRPr="00FB3ABD" w14:paraId="707F57A4" w14:textId="77777777" w:rsidTr="005C52E3">
              <w:trPr>
                <w:trHeight w:val="24"/>
              </w:trPr>
              <w:tc>
                <w:tcPr>
                  <w:tcW w:w="49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BCBCFF" w14:textId="77777777" w:rsidR="00FB3ABD" w:rsidRPr="00FB3ABD" w:rsidRDefault="00FB3ABD" w:rsidP="00FB3ABD">
                  <w:pPr>
                    <w:ind w:firstLine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1. 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BAB792D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komunikacija </w:t>
                  </w:r>
                </w:p>
              </w:tc>
              <w:tc>
                <w:tcPr>
                  <w:tcW w:w="243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C547475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Prekės ženklų valdymas </w:t>
                  </w:r>
                </w:p>
              </w:tc>
              <w:tc>
                <w:tcPr>
                  <w:tcW w:w="524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F04A6C9" w14:textId="77777777" w:rsidR="00FB3ABD" w:rsidRPr="00FB3ABD" w:rsidRDefault="00FB3ABD" w:rsidP="00FB3ABD">
                  <w:pPr>
                    <w:ind w:firstLine="0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Prekės ženklo/ų registravimas ir administraciniai darbai. Prekės ženklo/ų priežiūra ir identiteto formavimas, savalaikis Prekės ženklo/ų stiliaus vadovo atributų pildymas ir atnaujinimas, atliepiant rinkos tendencijas ir </w:t>
                  </w: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lastRenderedPageBreak/>
                    <w:t>organizacinius poreikius. Konsultacijos prekių ženklų naudojimas komunikacijos klausimais. </w:t>
                  </w:r>
                </w:p>
              </w:tc>
            </w:tr>
            <w:tr w:rsidR="005C52E3" w:rsidRPr="00FB3ABD" w14:paraId="6429D14A" w14:textId="77777777" w:rsidTr="005C52E3">
              <w:trPr>
                <w:trHeight w:val="76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0521AB3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8D72310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43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068F515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kampanijų valdymas </w:t>
                  </w:r>
                </w:p>
              </w:tc>
              <w:tc>
                <w:tcPr>
                  <w:tcW w:w="52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58ED90E" w14:textId="77777777" w:rsidR="00FB3ABD" w:rsidRPr="00FB3ABD" w:rsidRDefault="00FB3ABD" w:rsidP="00FB3ABD">
                  <w:pPr>
                    <w:ind w:firstLine="0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Bendradarbiaujant su įmone ir trečiomis šalimis planuojama, organizuojama ir įgyvendinama rinkodaros komunikacijos kampanijos. Pvz. Įvaizdis, naujų produktų/paslaugų įvedimas, pardavimų skatinimas, klientų lojalumo didinimas ir pan. </w:t>
                  </w:r>
                </w:p>
              </w:tc>
            </w:tr>
            <w:tr w:rsidR="005C52E3" w:rsidRPr="00FB3ABD" w14:paraId="29852970" w14:textId="77777777" w:rsidTr="005C52E3">
              <w:trPr>
                <w:trHeight w:val="44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4EFEFE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991A74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43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498DF96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socialiniuose tinkluose valdymas </w:t>
                  </w:r>
                </w:p>
              </w:tc>
              <w:tc>
                <w:tcPr>
                  <w:tcW w:w="52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C63252" w14:textId="77777777" w:rsidR="00FB3ABD" w:rsidRPr="00FB3ABD" w:rsidRDefault="00FB3ABD" w:rsidP="00FB3ABD">
                  <w:pPr>
                    <w:ind w:firstLine="0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Įrašų rengimas, reklamos optimizavimas, komentarų ir klientų užklausų monitoringas socialiniuose tinkluose Facebook ir Linkedin. </w:t>
                  </w:r>
                </w:p>
              </w:tc>
            </w:tr>
            <w:tr w:rsidR="005C52E3" w:rsidRPr="00FB3ABD" w14:paraId="1AD1A707" w14:textId="77777777" w:rsidTr="005C52E3">
              <w:trPr>
                <w:trHeight w:val="140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93899F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139418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43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2535F6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Internetinių svetainių valdymas </w:t>
                  </w:r>
                </w:p>
              </w:tc>
              <w:tc>
                <w:tcPr>
                  <w:tcW w:w="52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393DEA8" w14:textId="77777777" w:rsidR="00FB3ABD" w:rsidRPr="00FB3ABD" w:rsidRDefault="00FB3ABD" w:rsidP="00FB3ABD">
                  <w:pPr>
                    <w:ind w:firstLine="0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Svetainės turinio valdymo sistemos administravimas (informacijos nuolatinis atnaujinimas, kėlimas, keitimas) naujų modulių, f-jų kūrimas, plėtra, testavimas, paleidimas. Techninių specifikacijų f-joms rengimas, įgyvendinimas, pirkimų inicijavimas, organizavimas, darbų priėmimas iš trečiųjų šalių, testavimas, paleidimas. Klaidų, gedimų šalinimas, naujų programavimo darbų organizavimas, versijų atnaujinimas. </w:t>
                  </w:r>
                </w:p>
              </w:tc>
            </w:tr>
            <w:tr w:rsidR="005C52E3" w:rsidRPr="00FB3ABD" w14:paraId="2A1FAA84" w14:textId="77777777" w:rsidTr="005C52E3">
              <w:trPr>
                <w:trHeight w:val="37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0182C5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D02A77D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E06438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valdymas </w:t>
                  </w:r>
                </w:p>
              </w:tc>
              <w:tc>
                <w:tcPr>
                  <w:tcW w:w="524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0716AEB" w14:textId="77777777" w:rsidR="00FB3ABD" w:rsidRPr="00FB3ABD" w:rsidRDefault="00FB3ABD" w:rsidP="00FB3ABD">
                  <w:pPr>
                    <w:ind w:firstLine="0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strategijos ir veiklos planų parengimas, suderinimas ir suplanuotų veiksmų įgyvendinimas. Biudžetų rengimas ir valdymas, konsultacijos rinkodaros komunikacijos klausimais. </w:t>
                  </w:r>
                </w:p>
              </w:tc>
            </w:tr>
            <w:tr w:rsidR="005C52E3" w:rsidRPr="00FB3ABD" w14:paraId="45A22DE6" w14:textId="77777777" w:rsidTr="005C52E3">
              <w:trPr>
                <w:trHeight w:val="17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DD4812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322A446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04BAB7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Renginių organizavimas ir valdymas </w:t>
                  </w:r>
                </w:p>
              </w:tc>
              <w:tc>
                <w:tcPr>
                  <w:tcW w:w="524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77BDB8A" w14:textId="77777777" w:rsidR="00FB3ABD" w:rsidRPr="00FB3ABD" w:rsidRDefault="00FB3ABD" w:rsidP="00FB3ABD">
                  <w:pPr>
                    <w:ind w:firstLine="0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(konferencijų, seminarų, pristatymų ir pan.) planavimas, organizavimas ir įgyvendinimas </w:t>
                  </w:r>
                </w:p>
              </w:tc>
            </w:tr>
            <w:tr w:rsidR="005C52E3" w:rsidRPr="00FB3ABD" w14:paraId="2C0D58A8" w14:textId="77777777" w:rsidTr="005C52E3">
              <w:trPr>
                <w:trHeight w:val="37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C7B88D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DFFFDEB" w14:textId="77777777" w:rsidR="00FB3ABD" w:rsidRPr="00FB3ABD" w:rsidRDefault="00FB3ABD" w:rsidP="00FB3ABD">
                  <w:pPr>
                    <w:ind w:firstLine="0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0BD1495" w14:textId="77777777" w:rsidR="00FB3ABD" w:rsidRPr="00FB3ABD" w:rsidRDefault="00FB3ABD" w:rsidP="00FB3ABD">
                  <w:pPr>
                    <w:ind w:firstLine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Tekstų rašymas ir redagavimas </w:t>
                  </w:r>
                </w:p>
              </w:tc>
              <w:tc>
                <w:tcPr>
                  <w:tcW w:w="524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0CB8DD7" w14:textId="77777777" w:rsidR="00FB3ABD" w:rsidRPr="00FB3ABD" w:rsidRDefault="00FB3ABD" w:rsidP="00FB3ABD">
                  <w:pPr>
                    <w:ind w:firstLine="0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t-LT"/>
                    </w:rPr>
                  </w:pPr>
                  <w:r w:rsidRPr="00FB3ABD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Reklaminių, įvaizdinių ir klientų komunikacijos tekstų kūrimas, jau sukurtų redagavimas. Komunikacijos gairių rengimas ir atitikimo priežiūra. </w:t>
                  </w:r>
                </w:p>
              </w:tc>
            </w:tr>
          </w:tbl>
          <w:p w14:paraId="654CC6F8" w14:textId="2EFD4E9F" w:rsidR="00833A1B" w:rsidRPr="00546929" w:rsidRDefault="00833A1B" w:rsidP="00546929">
            <w:pPr>
              <w:ind w:firstLine="0"/>
              <w:rPr>
                <w:sz w:val="20"/>
                <w:szCs w:val="20"/>
                <w:lang w:eastAsia="lt-LT"/>
              </w:rPr>
            </w:pPr>
          </w:p>
        </w:tc>
      </w:tr>
      <w:tr w:rsidR="00546929" w:rsidRPr="0090702B" w14:paraId="10A63DB1" w14:textId="77777777" w:rsidTr="005C52E3">
        <w:trPr>
          <w:trHeight w:val="54"/>
        </w:trPr>
        <w:tc>
          <w:tcPr>
            <w:tcW w:w="961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CA5BAF" w14:textId="77777777" w:rsidR="00546929" w:rsidRDefault="00546929" w:rsidP="00546929">
            <w:pPr>
              <w:pStyle w:val="ListParagraph"/>
              <w:numPr>
                <w:ilvl w:val="3"/>
                <w:numId w:val="1"/>
              </w:numPr>
              <w:tabs>
                <w:tab w:val="left" w:pos="284"/>
                <w:tab w:val="left" w:pos="709"/>
              </w:tabs>
              <w:spacing w:before="60" w:after="60"/>
              <w:contextualSpacing w:val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B91FD6">
              <w:rPr>
                <w:rFonts w:cs="Arial"/>
                <w:bCs/>
                <w:sz w:val="20"/>
                <w:szCs w:val="20"/>
              </w:rPr>
              <w:lastRenderedPageBreak/>
              <w:t>Rinkodaros valdymo konsultacinės</w:t>
            </w:r>
            <w:r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paslaugos Pirkėjo pasirinkimu teikiamos lietuvių ir/arba anglų kalba.</w:t>
            </w:r>
          </w:p>
          <w:p w14:paraId="3586D500" w14:textId="585B61F8" w:rsidR="00546929" w:rsidRDefault="00546929" w:rsidP="00546929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1080" w:firstLine="0"/>
              <w:contextualSpacing w:val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</w:tbl>
    <w:bookmarkEnd w:id="2"/>
    <w:p w14:paraId="173D9CCD" w14:textId="747D1344" w:rsidR="00085A74" w:rsidRPr="0090702B" w:rsidRDefault="00977724" w:rsidP="006D4DD7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2359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CACA" w14:textId="77777777" w:rsidR="00602805" w:rsidRDefault="00602805" w:rsidP="00427694">
      <w:r>
        <w:separator/>
      </w:r>
    </w:p>
  </w:endnote>
  <w:endnote w:type="continuationSeparator" w:id="0">
    <w:p w14:paraId="26573859" w14:textId="77777777" w:rsidR="00602805" w:rsidRDefault="00602805" w:rsidP="00427694">
      <w:r>
        <w:continuationSeparator/>
      </w:r>
    </w:p>
  </w:endnote>
  <w:endnote w:type="continuationNotice" w:id="1">
    <w:p w14:paraId="188D8B14" w14:textId="77777777" w:rsidR="00602805" w:rsidRDefault="00602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4638" w14:textId="77777777" w:rsidR="00C3050A" w:rsidRDefault="00C3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2F31" w14:textId="77777777" w:rsidR="00C3050A" w:rsidRDefault="00C3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C7ED" w14:textId="77777777" w:rsidR="00C3050A" w:rsidRDefault="00C3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46EA" w14:textId="77777777" w:rsidR="00602805" w:rsidRDefault="00602805" w:rsidP="00427694">
      <w:r>
        <w:separator/>
      </w:r>
    </w:p>
  </w:footnote>
  <w:footnote w:type="continuationSeparator" w:id="0">
    <w:p w14:paraId="0EF25802" w14:textId="77777777" w:rsidR="00602805" w:rsidRDefault="00602805" w:rsidP="00427694">
      <w:r>
        <w:continuationSeparator/>
      </w:r>
    </w:p>
  </w:footnote>
  <w:footnote w:type="continuationNotice" w:id="1">
    <w:p w14:paraId="2B1E1F4C" w14:textId="77777777" w:rsidR="00602805" w:rsidRDefault="00602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77777777" w:rsidR="00C3050A" w:rsidRDefault="00C3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9A4B" w14:textId="4B33040E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77777777" w:rsidR="00C3050A" w:rsidRDefault="00C3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3194939">
    <w:abstractNumId w:val="11"/>
  </w:num>
  <w:num w:numId="2" w16cid:durableId="1117798295">
    <w:abstractNumId w:val="6"/>
  </w:num>
  <w:num w:numId="3" w16cid:durableId="1382633923">
    <w:abstractNumId w:val="20"/>
  </w:num>
  <w:num w:numId="4" w16cid:durableId="1953587802">
    <w:abstractNumId w:val="0"/>
  </w:num>
  <w:num w:numId="5" w16cid:durableId="2135782108">
    <w:abstractNumId w:val="18"/>
  </w:num>
  <w:num w:numId="6" w16cid:durableId="1252006138">
    <w:abstractNumId w:val="4"/>
  </w:num>
  <w:num w:numId="7" w16cid:durableId="397410330">
    <w:abstractNumId w:val="14"/>
  </w:num>
  <w:num w:numId="8" w16cid:durableId="1162506704">
    <w:abstractNumId w:val="5"/>
  </w:num>
  <w:num w:numId="9" w16cid:durableId="340544445">
    <w:abstractNumId w:val="15"/>
  </w:num>
  <w:num w:numId="10" w16cid:durableId="1139568623">
    <w:abstractNumId w:val="21"/>
  </w:num>
  <w:num w:numId="11" w16cid:durableId="721633631">
    <w:abstractNumId w:val="13"/>
  </w:num>
  <w:num w:numId="12" w16cid:durableId="1412115648">
    <w:abstractNumId w:val="3"/>
  </w:num>
  <w:num w:numId="13" w16cid:durableId="1232472507">
    <w:abstractNumId w:val="19"/>
  </w:num>
  <w:num w:numId="14" w16cid:durableId="2028293076">
    <w:abstractNumId w:val="10"/>
  </w:num>
  <w:num w:numId="15" w16cid:durableId="2035223692">
    <w:abstractNumId w:val="12"/>
  </w:num>
  <w:num w:numId="16" w16cid:durableId="2042437094">
    <w:abstractNumId w:val="10"/>
  </w:num>
  <w:num w:numId="17" w16cid:durableId="187523367">
    <w:abstractNumId w:val="1"/>
  </w:num>
  <w:num w:numId="18" w16cid:durableId="1635405592">
    <w:abstractNumId w:val="1"/>
  </w:num>
  <w:num w:numId="19" w16cid:durableId="1418404240">
    <w:abstractNumId w:val="8"/>
  </w:num>
  <w:num w:numId="20" w16cid:durableId="1789929016">
    <w:abstractNumId w:val="7"/>
  </w:num>
  <w:num w:numId="21" w16cid:durableId="1718891473">
    <w:abstractNumId w:val="2"/>
  </w:num>
  <w:num w:numId="22" w16cid:durableId="2129276768">
    <w:abstractNumId w:val="9"/>
  </w:num>
  <w:num w:numId="23" w16cid:durableId="1378433844">
    <w:abstractNumId w:val="16"/>
  </w:num>
  <w:num w:numId="24" w16cid:durableId="670451107">
    <w:abstractNumId w:val="17"/>
  </w:num>
  <w:num w:numId="25" w16cid:durableId="891580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07B5C"/>
    <w:rsid w:val="0001043C"/>
    <w:rsid w:val="00013F6A"/>
    <w:rsid w:val="0002576F"/>
    <w:rsid w:val="00025963"/>
    <w:rsid w:val="00043231"/>
    <w:rsid w:val="00055F9D"/>
    <w:rsid w:val="0005720D"/>
    <w:rsid w:val="00057632"/>
    <w:rsid w:val="000819AB"/>
    <w:rsid w:val="00085A74"/>
    <w:rsid w:val="00090E46"/>
    <w:rsid w:val="000912E7"/>
    <w:rsid w:val="0009210E"/>
    <w:rsid w:val="0009477B"/>
    <w:rsid w:val="000A52C6"/>
    <w:rsid w:val="000B22E8"/>
    <w:rsid w:val="000C4CFA"/>
    <w:rsid w:val="000C6D3E"/>
    <w:rsid w:val="000E011C"/>
    <w:rsid w:val="000E1D1C"/>
    <w:rsid w:val="000E4215"/>
    <w:rsid w:val="000F5FB9"/>
    <w:rsid w:val="00102417"/>
    <w:rsid w:val="001039B4"/>
    <w:rsid w:val="00110568"/>
    <w:rsid w:val="001263FA"/>
    <w:rsid w:val="00136FE5"/>
    <w:rsid w:val="00137B5E"/>
    <w:rsid w:val="001512C3"/>
    <w:rsid w:val="00154859"/>
    <w:rsid w:val="00156E2A"/>
    <w:rsid w:val="00166AD8"/>
    <w:rsid w:val="001702BB"/>
    <w:rsid w:val="00176509"/>
    <w:rsid w:val="001813F1"/>
    <w:rsid w:val="0018597A"/>
    <w:rsid w:val="001A2152"/>
    <w:rsid w:val="001F4E67"/>
    <w:rsid w:val="001F57AC"/>
    <w:rsid w:val="00205616"/>
    <w:rsid w:val="00221796"/>
    <w:rsid w:val="00221B57"/>
    <w:rsid w:val="002359BD"/>
    <w:rsid w:val="00242015"/>
    <w:rsid w:val="002465CA"/>
    <w:rsid w:val="002528BA"/>
    <w:rsid w:val="002635E4"/>
    <w:rsid w:val="00270435"/>
    <w:rsid w:val="00297CFA"/>
    <w:rsid w:val="002B4BC7"/>
    <w:rsid w:val="002D413F"/>
    <w:rsid w:val="002D7E6C"/>
    <w:rsid w:val="002E0FE5"/>
    <w:rsid w:val="002F108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1663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FA7"/>
    <w:rsid w:val="00425DE9"/>
    <w:rsid w:val="00426967"/>
    <w:rsid w:val="00427694"/>
    <w:rsid w:val="00430ED8"/>
    <w:rsid w:val="004421F4"/>
    <w:rsid w:val="00447658"/>
    <w:rsid w:val="00452169"/>
    <w:rsid w:val="00454749"/>
    <w:rsid w:val="0045791E"/>
    <w:rsid w:val="00460AD4"/>
    <w:rsid w:val="00460C67"/>
    <w:rsid w:val="00462C11"/>
    <w:rsid w:val="00474A1D"/>
    <w:rsid w:val="00477A19"/>
    <w:rsid w:val="00477A4D"/>
    <w:rsid w:val="00480079"/>
    <w:rsid w:val="004841BC"/>
    <w:rsid w:val="00492F5E"/>
    <w:rsid w:val="0049799C"/>
    <w:rsid w:val="004B218A"/>
    <w:rsid w:val="004B4DB8"/>
    <w:rsid w:val="004B5AC4"/>
    <w:rsid w:val="004B6078"/>
    <w:rsid w:val="004B7553"/>
    <w:rsid w:val="004C4262"/>
    <w:rsid w:val="004D2CDE"/>
    <w:rsid w:val="004D5996"/>
    <w:rsid w:val="004D5A9A"/>
    <w:rsid w:val="004D6519"/>
    <w:rsid w:val="004D66EE"/>
    <w:rsid w:val="004E680A"/>
    <w:rsid w:val="004F48CE"/>
    <w:rsid w:val="004F56FB"/>
    <w:rsid w:val="004F57B0"/>
    <w:rsid w:val="00512026"/>
    <w:rsid w:val="00513484"/>
    <w:rsid w:val="00516E0D"/>
    <w:rsid w:val="005243F9"/>
    <w:rsid w:val="00525C20"/>
    <w:rsid w:val="0054193F"/>
    <w:rsid w:val="00546929"/>
    <w:rsid w:val="005508AD"/>
    <w:rsid w:val="00554F68"/>
    <w:rsid w:val="005859F6"/>
    <w:rsid w:val="00597020"/>
    <w:rsid w:val="005A6AD4"/>
    <w:rsid w:val="005C52E3"/>
    <w:rsid w:val="005C57DA"/>
    <w:rsid w:val="005D2DB2"/>
    <w:rsid w:val="005D5D80"/>
    <w:rsid w:val="005E2B95"/>
    <w:rsid w:val="005E6E09"/>
    <w:rsid w:val="005F58F0"/>
    <w:rsid w:val="00600808"/>
    <w:rsid w:val="00602805"/>
    <w:rsid w:val="00606179"/>
    <w:rsid w:val="00606F55"/>
    <w:rsid w:val="00617582"/>
    <w:rsid w:val="00620B22"/>
    <w:rsid w:val="0062174B"/>
    <w:rsid w:val="00625A51"/>
    <w:rsid w:val="00626075"/>
    <w:rsid w:val="0063746F"/>
    <w:rsid w:val="00650104"/>
    <w:rsid w:val="00654B47"/>
    <w:rsid w:val="006709BC"/>
    <w:rsid w:val="006728A3"/>
    <w:rsid w:val="00681DF2"/>
    <w:rsid w:val="00686D60"/>
    <w:rsid w:val="00690EBB"/>
    <w:rsid w:val="006A5FEC"/>
    <w:rsid w:val="006C5A08"/>
    <w:rsid w:val="006D3CC0"/>
    <w:rsid w:val="006D4DD7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630B0"/>
    <w:rsid w:val="007763B9"/>
    <w:rsid w:val="00787203"/>
    <w:rsid w:val="0079503B"/>
    <w:rsid w:val="007A2880"/>
    <w:rsid w:val="007A4BA3"/>
    <w:rsid w:val="007A709D"/>
    <w:rsid w:val="007B6D5A"/>
    <w:rsid w:val="007C3C91"/>
    <w:rsid w:val="007C6EA8"/>
    <w:rsid w:val="007D4058"/>
    <w:rsid w:val="007E376C"/>
    <w:rsid w:val="007E6DE2"/>
    <w:rsid w:val="007E7F35"/>
    <w:rsid w:val="007F3CD0"/>
    <w:rsid w:val="00800D52"/>
    <w:rsid w:val="0080244F"/>
    <w:rsid w:val="00813020"/>
    <w:rsid w:val="00820513"/>
    <w:rsid w:val="00833A1B"/>
    <w:rsid w:val="00861FCC"/>
    <w:rsid w:val="00876051"/>
    <w:rsid w:val="00886F5B"/>
    <w:rsid w:val="00890A6E"/>
    <w:rsid w:val="008A3AD9"/>
    <w:rsid w:val="008B3991"/>
    <w:rsid w:val="008C03B9"/>
    <w:rsid w:val="008C1B7A"/>
    <w:rsid w:val="008C4C68"/>
    <w:rsid w:val="008C77B1"/>
    <w:rsid w:val="008D31D6"/>
    <w:rsid w:val="008D64B2"/>
    <w:rsid w:val="008D6813"/>
    <w:rsid w:val="008F1376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B2E0C"/>
    <w:rsid w:val="009E1CC2"/>
    <w:rsid w:val="009E40CD"/>
    <w:rsid w:val="009E40ED"/>
    <w:rsid w:val="00A059FC"/>
    <w:rsid w:val="00A07EE5"/>
    <w:rsid w:val="00A162BE"/>
    <w:rsid w:val="00A27DB5"/>
    <w:rsid w:val="00A32204"/>
    <w:rsid w:val="00A37745"/>
    <w:rsid w:val="00A378FF"/>
    <w:rsid w:val="00A537EF"/>
    <w:rsid w:val="00A55E5C"/>
    <w:rsid w:val="00A57A05"/>
    <w:rsid w:val="00A83547"/>
    <w:rsid w:val="00A83856"/>
    <w:rsid w:val="00A92855"/>
    <w:rsid w:val="00A93D56"/>
    <w:rsid w:val="00A941DB"/>
    <w:rsid w:val="00AA43BA"/>
    <w:rsid w:val="00AB105F"/>
    <w:rsid w:val="00AC62D4"/>
    <w:rsid w:val="00AC7184"/>
    <w:rsid w:val="00AD198A"/>
    <w:rsid w:val="00AD23DC"/>
    <w:rsid w:val="00AD38F3"/>
    <w:rsid w:val="00AD43AE"/>
    <w:rsid w:val="00AD4AE5"/>
    <w:rsid w:val="00AD53AF"/>
    <w:rsid w:val="00AE77F6"/>
    <w:rsid w:val="00AE7AD3"/>
    <w:rsid w:val="00AF2B87"/>
    <w:rsid w:val="00AF3BA7"/>
    <w:rsid w:val="00B1396A"/>
    <w:rsid w:val="00B17F63"/>
    <w:rsid w:val="00B41F34"/>
    <w:rsid w:val="00B41FF4"/>
    <w:rsid w:val="00B442B7"/>
    <w:rsid w:val="00B46B8C"/>
    <w:rsid w:val="00B525C5"/>
    <w:rsid w:val="00B6032A"/>
    <w:rsid w:val="00B81729"/>
    <w:rsid w:val="00B91FD6"/>
    <w:rsid w:val="00B9284A"/>
    <w:rsid w:val="00B93FE3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1607"/>
    <w:rsid w:val="00C23BE5"/>
    <w:rsid w:val="00C3050A"/>
    <w:rsid w:val="00C42862"/>
    <w:rsid w:val="00C42977"/>
    <w:rsid w:val="00C53D6E"/>
    <w:rsid w:val="00C56F19"/>
    <w:rsid w:val="00C65110"/>
    <w:rsid w:val="00C65BF0"/>
    <w:rsid w:val="00C72487"/>
    <w:rsid w:val="00C77922"/>
    <w:rsid w:val="00C84A77"/>
    <w:rsid w:val="00C84E30"/>
    <w:rsid w:val="00C85580"/>
    <w:rsid w:val="00C85F69"/>
    <w:rsid w:val="00C944B1"/>
    <w:rsid w:val="00CA7BB7"/>
    <w:rsid w:val="00CB0C83"/>
    <w:rsid w:val="00CC47F4"/>
    <w:rsid w:val="00CC741B"/>
    <w:rsid w:val="00CD0AF5"/>
    <w:rsid w:val="00CD2376"/>
    <w:rsid w:val="00CE0948"/>
    <w:rsid w:val="00CE17F8"/>
    <w:rsid w:val="00CE353E"/>
    <w:rsid w:val="00CE418F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47259"/>
    <w:rsid w:val="00D511C9"/>
    <w:rsid w:val="00D536FE"/>
    <w:rsid w:val="00D621A5"/>
    <w:rsid w:val="00D64C94"/>
    <w:rsid w:val="00D65375"/>
    <w:rsid w:val="00D65D91"/>
    <w:rsid w:val="00D72E8A"/>
    <w:rsid w:val="00D81392"/>
    <w:rsid w:val="00D977E6"/>
    <w:rsid w:val="00DA73BD"/>
    <w:rsid w:val="00DA7C21"/>
    <w:rsid w:val="00DB4387"/>
    <w:rsid w:val="00DB4DEC"/>
    <w:rsid w:val="00DC557E"/>
    <w:rsid w:val="00DE6560"/>
    <w:rsid w:val="00E05EAD"/>
    <w:rsid w:val="00E1446C"/>
    <w:rsid w:val="00E156DD"/>
    <w:rsid w:val="00E21CA2"/>
    <w:rsid w:val="00E33D26"/>
    <w:rsid w:val="00E42612"/>
    <w:rsid w:val="00E433D2"/>
    <w:rsid w:val="00E45A46"/>
    <w:rsid w:val="00E5115C"/>
    <w:rsid w:val="00E51281"/>
    <w:rsid w:val="00E54564"/>
    <w:rsid w:val="00E54F7E"/>
    <w:rsid w:val="00E56FBE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1332"/>
    <w:rsid w:val="00F0442E"/>
    <w:rsid w:val="00F0479C"/>
    <w:rsid w:val="00F07CFC"/>
    <w:rsid w:val="00F1059C"/>
    <w:rsid w:val="00F1310C"/>
    <w:rsid w:val="00F30140"/>
    <w:rsid w:val="00F3225A"/>
    <w:rsid w:val="00F3283F"/>
    <w:rsid w:val="00F353DF"/>
    <w:rsid w:val="00F47231"/>
    <w:rsid w:val="00F504D3"/>
    <w:rsid w:val="00F5425B"/>
    <w:rsid w:val="00F57A8D"/>
    <w:rsid w:val="00F60683"/>
    <w:rsid w:val="00F63911"/>
    <w:rsid w:val="00F7214E"/>
    <w:rsid w:val="00F8403C"/>
    <w:rsid w:val="00F86E1C"/>
    <w:rsid w:val="00FA1DD9"/>
    <w:rsid w:val="00FA6D81"/>
    <w:rsid w:val="00FA7389"/>
    <w:rsid w:val="00FB17BD"/>
    <w:rsid w:val="00FB3ABD"/>
    <w:rsid w:val="00FC2A48"/>
    <w:rsid w:val="00FC4580"/>
    <w:rsid w:val="00FC4915"/>
    <w:rsid w:val="00FC4D0B"/>
    <w:rsid w:val="00FD4DD8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4058"/>
    <w:rPr>
      <w:color w:val="808080"/>
    </w:rPr>
  </w:style>
  <w:style w:type="paragraph" w:customStyle="1" w:styleId="paragraph">
    <w:name w:val="paragraph"/>
    <w:basedOn w:val="Normal"/>
    <w:rsid w:val="00FB3AB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FB3ABD"/>
  </w:style>
  <w:style w:type="character" w:customStyle="1" w:styleId="eop">
    <w:name w:val="eop"/>
    <w:basedOn w:val="DefaultParagraphFont"/>
    <w:rsid w:val="00FB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A40536C59438CA4D94962A225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5B15-B991-46EA-8458-972E2C56EE61}"/>
      </w:docPartPr>
      <w:docPartBody>
        <w:p w:rsidR="002F2437" w:rsidRDefault="00CB21FF" w:rsidP="00CB21FF">
          <w:pPr>
            <w:pStyle w:val="885A40536C59438CA4D94962A225F45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FF"/>
    <w:rsid w:val="001D43FD"/>
    <w:rsid w:val="002F2437"/>
    <w:rsid w:val="006F6BA2"/>
    <w:rsid w:val="00CB21FF"/>
    <w:rsid w:val="00E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A40536C59438CA4D94962A225F457">
    <w:name w:val="885A40536C59438CA4D94962A225F457"/>
    <w:rsid w:val="00CB21FF"/>
  </w:style>
  <w:style w:type="character" w:styleId="PlaceholderText">
    <w:name w:val="Placeholder Text"/>
    <w:basedOn w:val="DefaultParagraphFont"/>
    <w:uiPriority w:val="99"/>
    <w:semiHidden/>
    <w:rsid w:val="002F24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445913d640fcbed630872e98dbe4fb07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8f68d0020faf76567549f9b21c10f19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aeaa6a-6a37-42f1-8929-cfe28b1fdfde">
      <UserInfo>
        <DisplayName>Živilė Kasparavičienė</DisplayName>
        <AccountId>80</AccountId>
        <AccountType/>
      </UserInfo>
    </SharedWithUsers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08E64-52E9-4CD9-AAE1-3EB4DC145E1C}"/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purl.org/dc/elements/1.1/"/>
    <ds:schemaRef ds:uri="http://schemas.microsoft.com/office/infopath/2007/PartnerControls"/>
    <ds:schemaRef ds:uri="4e521fc8-c9e0-4f7f-9e15-891ede8b564b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0aeaa6a-6a37-42f1-8929-cfe28b1fdfd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3636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Riabovienė</dc:creator>
  <cp:keywords/>
  <dc:description/>
  <cp:lastModifiedBy>Ingrida Bikuvienė</cp:lastModifiedBy>
  <cp:revision>4</cp:revision>
  <dcterms:created xsi:type="dcterms:W3CDTF">2024-01-18T11:40:00Z</dcterms:created>
  <dcterms:modified xsi:type="dcterms:W3CDTF">2024-02-12T10:19:00Z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2020-01-09T08:24:02.4848532Z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1859e586-e99f-4a9f-b107-d0cdd8bb9879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2021-12-02T13:56:10Z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1859e586-e99f-4a9f-b107-d0cdd8bb9879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</Properties>
</file>