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5F1C2AA4"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E21185" w:rsidRPr="00434EAE">
        <w:rPr>
          <w:rFonts w:ascii="Times New Roman" w:eastAsia="Times New Roman" w:hAnsi="Times New Roman" w:cs="Times New Roman"/>
          <w:kern w:val="0"/>
          <w:sz w:val="24"/>
          <w:szCs w:val="20"/>
          <w14:ligatures w14:val="none"/>
        </w:rPr>
        <w:t>, veikiančio pagal generalinio direktoriaus 2024 m. gegužės 10 d. įgaliojimą Nr. 3-201</w:t>
      </w:r>
      <w:r w:rsidRPr="004A66C1">
        <w:rPr>
          <w:rFonts w:ascii="Times New Roman" w:eastAsia="Times New Roman" w:hAnsi="Times New Roman" w:cs="Times New Roman"/>
          <w:kern w:val="0"/>
          <w:sz w:val="24"/>
          <w:szCs w:val="20"/>
          <w14:ligatures w14:val="none"/>
        </w:rPr>
        <w:t xml:space="preserve"> 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044600E1" w:rsidR="004A66C1" w:rsidRPr="004A66C1" w:rsidRDefault="00AC0529"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8167A0">
        <w:rPr>
          <w:rFonts w:ascii="Times New Roman" w:eastAsia="Times New Roman" w:hAnsi="Times New Roman" w:cs="Times New Roman"/>
          <w:iCs/>
          <w:kern w:val="0"/>
          <w:sz w:val="24"/>
          <w:szCs w:val="24"/>
          <w14:ligatures w14:val="none"/>
        </w:rPr>
        <w:t>UAB Laboratorinių bandymų centras</w:t>
      </w:r>
      <w:r w:rsidRPr="004A66C1">
        <w:rPr>
          <w:rFonts w:ascii="Times New Roman" w:eastAsia="Times New Roman" w:hAnsi="Times New Roman" w:cs="Times New Roman"/>
          <w:kern w:val="0"/>
          <w:sz w:val="24"/>
          <w:szCs w:val="24"/>
          <w14:ligatures w14:val="none"/>
        </w:rPr>
        <w:t>, juridinio asmens kodas</w:t>
      </w:r>
      <w:r>
        <w:rPr>
          <w:rFonts w:ascii="Times New Roman" w:eastAsia="Times New Roman" w:hAnsi="Times New Roman" w:cs="Times New Roman"/>
          <w:kern w:val="0"/>
          <w:sz w:val="24"/>
          <w:szCs w:val="24"/>
          <w14:ligatures w14:val="none"/>
        </w:rPr>
        <w:t xml:space="preserve"> </w:t>
      </w:r>
      <w:r w:rsidRPr="003B3219">
        <w:rPr>
          <w:rFonts w:ascii="Times New Roman" w:eastAsia="Times New Roman" w:hAnsi="Times New Roman" w:cs="Times New Roman"/>
          <w:iCs/>
          <w:kern w:val="0"/>
          <w:sz w:val="24"/>
          <w:szCs w:val="24"/>
          <w14:ligatures w14:val="none"/>
        </w:rPr>
        <w:t>135641038</w:t>
      </w:r>
      <w:r w:rsidRPr="004A66C1">
        <w:rPr>
          <w:rFonts w:ascii="Times New Roman" w:eastAsia="Times New Roman" w:hAnsi="Times New Roman" w:cs="Times New Roman"/>
          <w:kern w:val="0"/>
          <w:sz w:val="24"/>
          <w:szCs w:val="24"/>
          <w14:ligatures w14:val="none"/>
        </w:rPr>
        <w:t xml:space="preserve"> , kurios registruota buveinė yra </w:t>
      </w:r>
      <w:r w:rsidRPr="003B3219">
        <w:rPr>
          <w:rFonts w:ascii="Times New Roman" w:eastAsia="Times New Roman" w:hAnsi="Times New Roman" w:cs="Times New Roman"/>
          <w:iCs/>
          <w:kern w:val="0"/>
          <w:sz w:val="24"/>
          <w:szCs w:val="24"/>
          <w14:ligatures w14:val="none"/>
        </w:rPr>
        <w:t>R. Kalantos g. 85A, LT-52308 Kaunas</w:t>
      </w:r>
      <w:r w:rsidRPr="004A66C1">
        <w:rPr>
          <w:rFonts w:ascii="Times New Roman" w:eastAsia="Times New Roman" w:hAnsi="Times New Roman" w:cs="Times New Roman"/>
          <w:kern w:val="0"/>
          <w:sz w:val="24"/>
          <w:szCs w:val="24"/>
          <w14:ligatures w14:val="none"/>
        </w:rPr>
        <w:t xml:space="preserve">, duomenys apie įmonę kaupiami ir saugomi Lietuvos Respublikos juridinių asmenų registre, atstovaujama, veikiančio pagal bendrovės įstatus, patvirtintus </w:t>
      </w:r>
      <w:r w:rsidRPr="003B3219">
        <w:rPr>
          <w:rFonts w:ascii="Times New Roman" w:hAnsi="Times New Roman" w:cs="Times New Roman"/>
          <w:iCs/>
          <w:sz w:val="24"/>
          <w:szCs w:val="24"/>
        </w:rPr>
        <w:t>2019 m. rugpjūčio 23 d. neeilinio visuotinio akcininkų susirinkimo protokolu Nr. 2</w:t>
      </w:r>
      <w:r w:rsidRPr="003B3219">
        <w:rPr>
          <w:rFonts w:ascii="Times New Roman" w:eastAsia="Times New Roman" w:hAnsi="Times New Roman" w:cs="Times New Roman"/>
          <w:iCs/>
          <w:kern w:val="0"/>
          <w:sz w:val="24"/>
          <w:szCs w:val="24"/>
          <w14:ligatures w14:val="none"/>
        </w:rPr>
        <w:t xml:space="preserve"> </w:t>
      </w:r>
      <w:r w:rsidRPr="004A66C1">
        <w:rPr>
          <w:rFonts w:ascii="Times New Roman" w:eastAsia="Times New Roman" w:hAnsi="Times New Roman" w:cs="Times New Roman"/>
          <w:i/>
          <w:kern w:val="0"/>
          <w:sz w:val="24"/>
          <w:szCs w:val="24"/>
          <w14:ligatures w14:val="none"/>
        </w:rPr>
        <w:t xml:space="preserve"> </w:t>
      </w:r>
      <w:r w:rsidRPr="004A66C1">
        <w:rPr>
          <w:rFonts w:ascii="Times New Roman" w:eastAsia="Times New Roman" w:hAnsi="Times New Roman" w:cs="Times New Roman"/>
          <w:kern w:val="0"/>
          <w:sz w:val="24"/>
          <w:szCs w:val="24"/>
          <w14:ligatures w14:val="none"/>
        </w:rPr>
        <w:t>ir įregistruotus Lietuvos Respublikos juridinių asmenų registre, toliau vadinama</w:t>
      </w:r>
      <w:r w:rsidRPr="004A66C1">
        <w:rPr>
          <w:rFonts w:ascii="Times New Roman" w:eastAsia="Times New Roman" w:hAnsi="Times New Roman" w:cs="Times New Roman"/>
          <w:bCs/>
          <w:kern w:val="0"/>
          <w:sz w:val="24"/>
          <w:szCs w:val="24"/>
          <w14:ligatures w14:val="none"/>
        </w:rPr>
        <w:t xml:space="preserve"> </w:t>
      </w:r>
      <w:r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4C5E7F0" w14:textId="3E92C6A0" w:rsidR="004162DD" w:rsidRDefault="004A66C1" w:rsidP="00AC0529">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F11F09" w:rsidRPr="00F11F09">
        <w:rPr>
          <w:rFonts w:ascii="Times New Roman" w:hAnsi="Times New Roman" w:cs="Times New Roman"/>
          <w:b/>
          <w:sz w:val="24"/>
          <w:szCs w:val="24"/>
        </w:rPr>
        <w:t>Magistralinio kelio A14 Vilnius-Utena ruožo nuo 93,726 iki 95,653 km rekonstravimas</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EE6A6E">
        <w:rPr>
          <w:rFonts w:ascii="Times New Roman" w:eastAsia="Calibri" w:hAnsi="Times New Roman" w:cs="Times New Roman"/>
          <w:kern w:val="0"/>
          <w:sz w:val="24"/>
          <w:szCs w:val="24"/>
          <w14:ligatures w14:val="none"/>
        </w:rPr>
        <w:t>5</w:t>
      </w:r>
      <w:r w:rsidR="00F11F09">
        <w:rPr>
          <w:rFonts w:ascii="Times New Roman" w:eastAsia="Calibri" w:hAnsi="Times New Roman" w:cs="Times New Roman"/>
          <w:kern w:val="0"/>
          <w:sz w:val="24"/>
          <w:szCs w:val="24"/>
          <w14:ligatures w14:val="none"/>
        </w:rPr>
        <w:t>4</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49"/>
        <w:gridCol w:w="3491"/>
        <w:gridCol w:w="1748"/>
        <w:gridCol w:w="1370"/>
      </w:tblGrid>
      <w:tr w:rsidR="00647521" w:rsidRPr="00647521" w14:paraId="52BC0559" w14:textId="77777777" w:rsidTr="0053594E">
        <w:trPr>
          <w:trHeight w:val="920"/>
          <w:jc w:val="center"/>
        </w:trPr>
        <w:tc>
          <w:tcPr>
            <w:tcW w:w="1370" w:type="dxa"/>
            <w:vAlign w:val="center"/>
          </w:tcPr>
          <w:p w14:paraId="0C7768DB"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AC0529">
              <w:rPr>
                <w:rFonts w:ascii="Times New Roman" w:eastAsia="Times New Roman" w:hAnsi="Times New Roman" w:cs="Times New Roman"/>
                <w:b/>
                <w:bCs/>
                <w:color w:val="000000"/>
                <w:kern w:val="0"/>
                <w:lang w:eastAsia="lt-LT"/>
                <w14:ligatures w14:val="none"/>
              </w:rPr>
              <w:t>Sluoksnis, mišinys, gaminys</w:t>
            </w:r>
          </w:p>
        </w:tc>
        <w:tc>
          <w:tcPr>
            <w:tcW w:w="1649" w:type="dxa"/>
            <w:shd w:val="clear" w:color="auto" w:fill="auto"/>
            <w:vAlign w:val="center"/>
          </w:tcPr>
          <w:p w14:paraId="5BFE4684"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AC0529">
              <w:rPr>
                <w:rFonts w:ascii="Times New Roman" w:eastAsia="Times New Roman" w:hAnsi="Times New Roman" w:cs="Times New Roman"/>
                <w:b/>
                <w:bCs/>
                <w:color w:val="000000"/>
                <w:kern w:val="0"/>
                <w:lang w:eastAsia="lt-LT"/>
                <w14:ligatures w14:val="none"/>
              </w:rPr>
              <w:t>Reikalaujamos nustatyti savybės</w:t>
            </w:r>
          </w:p>
        </w:tc>
        <w:tc>
          <w:tcPr>
            <w:tcW w:w="3491" w:type="dxa"/>
            <w:shd w:val="clear" w:color="auto" w:fill="auto"/>
            <w:vAlign w:val="center"/>
          </w:tcPr>
          <w:p w14:paraId="44E40F31"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AC0529">
              <w:rPr>
                <w:rFonts w:ascii="Times New Roman" w:eastAsia="Times New Roman" w:hAnsi="Times New Roman" w:cs="Times New Roman"/>
                <w:b/>
                <w:bCs/>
                <w:color w:val="000000"/>
                <w:kern w:val="0"/>
                <w:lang w:eastAsia="lt-LT"/>
                <w14:ligatures w14:val="none"/>
              </w:rPr>
              <w:t>Bandymo rūšis</w:t>
            </w:r>
          </w:p>
          <w:p w14:paraId="7C27B173"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48" w:type="dxa"/>
            <w:shd w:val="clear" w:color="auto" w:fill="auto"/>
            <w:vAlign w:val="center"/>
          </w:tcPr>
          <w:p w14:paraId="19CF8323"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AC0529">
              <w:rPr>
                <w:rFonts w:ascii="Times New Roman" w:eastAsia="Times New Roman" w:hAnsi="Times New Roman" w:cs="Times New Roman"/>
                <w:b/>
                <w:bCs/>
                <w:color w:val="000000"/>
                <w:kern w:val="0"/>
                <w:lang w:eastAsia="lt-LT"/>
                <w14:ligatures w14:val="none"/>
              </w:rPr>
              <w:t>Bandymo metodas arba lygiavertis</w:t>
            </w:r>
          </w:p>
        </w:tc>
        <w:tc>
          <w:tcPr>
            <w:tcW w:w="1370" w:type="dxa"/>
            <w:vAlign w:val="center"/>
          </w:tcPr>
          <w:p w14:paraId="48E6A104" w14:textId="77777777" w:rsidR="00647521" w:rsidRPr="00AC0529"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AC0529">
              <w:rPr>
                <w:rFonts w:ascii="Times New Roman" w:eastAsia="Times New Roman" w:hAnsi="Times New Roman" w:cs="Times New Roman"/>
                <w:b/>
                <w:bCs/>
                <w:color w:val="000000"/>
                <w:kern w:val="0"/>
                <w:lang w:eastAsia="lt-LT"/>
                <w14:ligatures w14:val="none"/>
              </w:rPr>
              <w:t>Pavyzdžių kiekis, vnt.</w:t>
            </w:r>
          </w:p>
        </w:tc>
      </w:tr>
      <w:tr w:rsidR="00F11F09" w:rsidRPr="00647521" w14:paraId="28285AF9"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225FA95" w14:textId="5E820E30" w:rsidR="00F11F09" w:rsidRPr="00AC0529" w:rsidRDefault="00F11F09" w:rsidP="00F11F09">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AC0529">
              <w:rPr>
                <w:rFonts w:ascii="Times New Roman" w:hAnsi="Times New Roman" w:cs="Times New Roman"/>
              </w:rPr>
              <w:t>-</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560AD209" w14:textId="781D7EE1" w:rsidR="00F11F09" w:rsidRPr="00AC0529" w:rsidRDefault="00F11F09" w:rsidP="00F11F09">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AC0529">
              <w:rPr>
                <w:rFonts w:ascii="Times New Roman" w:hAnsi="Times New Roman" w:cs="Times New Roman"/>
              </w:rPr>
              <w:t>Kelio dangos lygumo matavimas</w:t>
            </w:r>
            <w:r w:rsidR="00D70109" w:rsidRPr="00AC0529">
              <w:rPr>
                <w:rFonts w:ascii="Times New Roman" w:hAnsi="Times New Roman" w:cs="Times New Roman"/>
              </w:rPr>
              <w:t xml:space="preserve"> (5 matavimai, kas 10m</w:t>
            </w:r>
          </w:p>
        </w:tc>
        <w:tc>
          <w:tcPr>
            <w:tcW w:w="3491" w:type="dxa"/>
            <w:tcBorders>
              <w:top w:val="single" w:sz="4" w:space="0" w:color="auto"/>
              <w:left w:val="nil"/>
              <w:bottom w:val="single" w:sz="4" w:space="0" w:color="auto"/>
              <w:right w:val="single" w:sz="4" w:space="0" w:color="auto"/>
            </w:tcBorders>
            <w:shd w:val="clear" w:color="000000" w:fill="FFFFFF"/>
          </w:tcPr>
          <w:p w14:paraId="78288E0A" w14:textId="7DCD4AAA" w:rsidR="00F11F09" w:rsidRPr="00AC0529" w:rsidRDefault="00F11F09" w:rsidP="00F11F09">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AC0529">
              <w:rPr>
                <w:rFonts w:ascii="Times New Roman" w:hAnsi="Times New Roman" w:cs="Times New Roman"/>
              </w:rPr>
              <w:t>naudojant 3 metrų ilgio liniuotę</w:t>
            </w:r>
          </w:p>
        </w:tc>
        <w:tc>
          <w:tcPr>
            <w:tcW w:w="1748" w:type="dxa"/>
            <w:tcBorders>
              <w:top w:val="single" w:sz="4" w:space="0" w:color="auto"/>
              <w:left w:val="nil"/>
              <w:bottom w:val="single" w:sz="4" w:space="0" w:color="auto"/>
              <w:right w:val="single" w:sz="4" w:space="0" w:color="auto"/>
            </w:tcBorders>
            <w:shd w:val="clear" w:color="000000" w:fill="FFFFFF"/>
          </w:tcPr>
          <w:p w14:paraId="46DE0F9E" w14:textId="3BF5470A" w:rsidR="00F11F09" w:rsidRPr="00AC0529" w:rsidRDefault="00F11F09" w:rsidP="00F11F09">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AC0529">
              <w:rPr>
                <w:rFonts w:ascii="Times New Roman" w:hAnsi="Times New Roman" w:cs="Times New Roman"/>
              </w:rPr>
              <w:t>ĮT ASFALTAS 08</w:t>
            </w:r>
          </w:p>
        </w:tc>
        <w:tc>
          <w:tcPr>
            <w:tcW w:w="1370" w:type="dxa"/>
            <w:tcBorders>
              <w:top w:val="single" w:sz="4" w:space="0" w:color="auto"/>
              <w:left w:val="nil"/>
              <w:bottom w:val="single" w:sz="4" w:space="0" w:color="auto"/>
              <w:right w:val="single" w:sz="4" w:space="0" w:color="auto"/>
            </w:tcBorders>
            <w:shd w:val="clear" w:color="000000" w:fill="FFFFFF"/>
          </w:tcPr>
          <w:p w14:paraId="5009EF26" w14:textId="017E7882" w:rsidR="00F11F09" w:rsidRPr="00AC0529" w:rsidRDefault="00D70109" w:rsidP="00F11F09">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AC0529">
              <w:rPr>
                <w:rFonts w:ascii="Times New Roman" w:hAnsi="Times New Roman" w:cs="Times New Roman"/>
              </w:rPr>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11E3FFC3" w14:textId="77777777" w:rsidR="00AC0529" w:rsidRPr="004A66C1" w:rsidRDefault="00AC0529" w:rsidP="00AC0529">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lastRenderedPageBreak/>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242,00 (du šimtai keturiasdešimt du eurai 00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200,00 (du šimtai eurų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42,00 (keturiasdešimt du eurai 00 ct</w:t>
      </w:r>
      <w:r w:rsidRPr="004A66C1">
        <w:rPr>
          <w:rFonts w:ascii="Times New Roman" w:eastAsia="Calibri" w:hAnsi="Times New Roman" w:cs="Times New Roman"/>
          <w:kern w:val="0"/>
          <w:sz w:val="24"/>
          <w:szCs w:val="24"/>
          <w14:ligatures w14:val="none"/>
        </w:rPr>
        <w:t>) Eur.</w:t>
      </w:r>
    </w:p>
    <w:p w14:paraId="28989985" w14:textId="77777777" w:rsidR="00AC0529" w:rsidRPr="004A66C1" w:rsidRDefault="00AC0529" w:rsidP="00AC0529">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Pr>
          <w:rFonts w:ascii="Times New Roman" w:eastAsia="Calibri" w:hAnsi="Times New Roman" w:cs="Times New Roman"/>
          <w:kern w:val="0"/>
          <w:sz w:val="24"/>
          <w:szCs w:val="24"/>
          <w:lang w:eastAsia="lt-LT"/>
          <w14:ligatures w14:val="none"/>
        </w:rPr>
        <w:t xml:space="preserve"> metu, yra 242,00 eurai su PVM du šimtai keturiasdešimt du eurai 00 ct.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750C2295" w14:textId="77777777" w:rsidR="00AC0529" w:rsidRPr="00AC0529" w:rsidRDefault="00AC0529" w:rsidP="00AC0529">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be P</w:t>
      </w:r>
      <w:r>
        <w:rPr>
          <w:rFonts w:ascii="Times New Roman" w:eastAsia="Calibri" w:hAnsi="Times New Roman" w:cs="Times New Roman"/>
          <w:kern w:val="0"/>
          <w:sz w:val="24"/>
          <w:szCs w:val="24"/>
          <w:lang w:eastAsia="lt-LT"/>
          <w14:ligatures w14:val="none"/>
        </w:rPr>
        <w:t>VM 200,00 eurų</w:t>
      </w:r>
      <w:r w:rsidRPr="004A66C1">
        <w:rPr>
          <w:rFonts w:ascii="Times New Roman" w:eastAsia="Calibri" w:hAnsi="Times New Roman" w:cs="Times New Roman"/>
          <w:kern w:val="0"/>
          <w:sz w:val="24"/>
          <w:szCs w:val="24"/>
          <w:lang w:eastAsia="lt-LT"/>
          <w14:ligatures w14:val="none"/>
        </w:rPr>
        <w:t xml:space="preserve"> </w:t>
      </w:r>
      <w:r w:rsidRPr="00AC0529">
        <w:rPr>
          <w:rFonts w:ascii="Times New Roman" w:eastAsia="Calibri" w:hAnsi="Times New Roman" w:cs="Times New Roman"/>
          <w:kern w:val="0"/>
          <w:sz w:val="24"/>
          <w:szCs w:val="24"/>
          <w:lang w:eastAsia="lt-LT"/>
          <w14:ligatures w14:val="none"/>
        </w:rPr>
        <w:t xml:space="preserve">(du šimtai eurų 00 ct); </w:t>
      </w:r>
    </w:p>
    <w:p w14:paraId="4812E47C" w14:textId="77777777" w:rsidR="00AC0529" w:rsidRPr="00AC0529" w:rsidRDefault="00AC0529" w:rsidP="00AC0529">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21 proc. PVM – 42,00</w:t>
      </w:r>
      <w:r w:rsidRPr="004A66C1">
        <w:rPr>
          <w:rFonts w:ascii="Times New Roman" w:eastAsia="Calibri" w:hAnsi="Times New Roman" w:cs="Times New Roman"/>
          <w:kern w:val="0"/>
          <w:sz w:val="24"/>
          <w:szCs w:val="24"/>
          <w:lang w:eastAsia="lt-LT"/>
          <w14:ligatures w14:val="none"/>
        </w:rPr>
        <w:t xml:space="preserve"> eurai </w:t>
      </w:r>
      <w:r w:rsidRPr="00AC0529">
        <w:rPr>
          <w:rFonts w:ascii="Times New Roman" w:eastAsia="Calibri" w:hAnsi="Times New Roman" w:cs="Times New Roman"/>
          <w:kern w:val="0"/>
          <w:sz w:val="24"/>
          <w:szCs w:val="24"/>
          <w:lang w:eastAsia="lt-LT"/>
          <w14:ligatures w14:val="none"/>
        </w:rPr>
        <w:t>(keturiasdešimt du eurai 00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16A10476" w14:textId="29D6B740" w:rsidR="002945D4" w:rsidRPr="008B54B6" w:rsidRDefault="004A66C1" w:rsidP="002945D4">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945D4">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2945D4">
        <w:rPr>
          <w:rFonts w:ascii="Times New Roman" w:eastAsia="Calibri" w:hAnsi="Times New Roman" w:cs="Times New Roman"/>
          <w:kern w:val="0"/>
          <w:sz w:val="24"/>
          <w14:ligatures w14:val="none"/>
        </w:rPr>
        <w:t>is</w:t>
      </w:r>
      <w:proofErr w:type="spellEnd"/>
      <w:r w:rsidRPr="002945D4">
        <w:rPr>
          <w:rFonts w:ascii="Times New Roman" w:eastAsia="Calibri" w:hAnsi="Times New Roman" w:cs="Times New Roman"/>
          <w:kern w:val="0"/>
          <w:sz w:val="24"/>
          <w14:ligatures w14:val="none"/>
        </w:rPr>
        <w:t xml:space="preserve"> už pirkimo sutarties vykdymą – </w:t>
      </w:r>
      <w:r w:rsidR="002945D4" w:rsidRPr="007A7647">
        <w:rPr>
          <w:rFonts w:ascii="Times New Roman" w:eastAsia="Calibri" w:hAnsi="Times New Roman" w:cs="Times New Roman"/>
          <w:kern w:val="0"/>
          <w:sz w:val="24"/>
          <w14:ligatures w14:val="none"/>
        </w:rPr>
        <w:t>.</w:t>
      </w:r>
    </w:p>
    <w:p w14:paraId="08DB0E8B" w14:textId="7B08BC7B" w:rsidR="00AC0529" w:rsidRPr="002945D4" w:rsidRDefault="004A66C1" w:rsidP="00AC0529">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945D4">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371954A5" w:rsidR="004A66C1" w:rsidRPr="00AC0529"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AC0529">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AC0529">
        <w:rPr>
          <w:rFonts w:ascii="Times New Roman" w:eastAsia="Calibri" w:hAnsi="Times New Roman" w:cs="Times New Roman"/>
          <w:bCs/>
          <w:kern w:val="0"/>
          <w:sz w:val="24"/>
          <w:szCs w:val="24"/>
          <w14:ligatures w14:val="none"/>
        </w:rPr>
        <w:t>us</w:t>
      </w:r>
      <w:proofErr w:type="spellEnd"/>
      <w:r w:rsidRPr="00AC0529">
        <w:rPr>
          <w:rFonts w:ascii="Times New Roman" w:eastAsia="Calibri" w:hAnsi="Times New Roman" w:cs="Times New Roman"/>
          <w:bCs/>
          <w:kern w:val="0"/>
          <w:sz w:val="24"/>
          <w:szCs w:val="24"/>
          <w14:ligatures w14:val="none"/>
        </w:rPr>
        <w:t>) projekto (-ų) kodą (-</w:t>
      </w:r>
      <w:proofErr w:type="spellStart"/>
      <w:r w:rsidRPr="00AC0529">
        <w:rPr>
          <w:rFonts w:ascii="Times New Roman" w:eastAsia="Calibri" w:hAnsi="Times New Roman" w:cs="Times New Roman"/>
          <w:bCs/>
          <w:kern w:val="0"/>
          <w:sz w:val="24"/>
          <w:szCs w:val="24"/>
          <w14:ligatures w14:val="none"/>
        </w:rPr>
        <w:t>us</w:t>
      </w:r>
      <w:proofErr w:type="spellEnd"/>
      <w:r w:rsidRPr="00AC0529">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AC0529">
        <w:rPr>
          <w:rFonts w:ascii="Times New Roman" w:eastAsia="Calibri" w:hAnsi="Times New Roman" w:cs="Times New Roman"/>
          <w:bCs/>
          <w:kern w:val="0"/>
          <w:sz w:val="24"/>
          <w:szCs w:val="24"/>
          <w14:ligatures w14:val="none"/>
        </w:rPr>
        <w:t xml:space="preserve"> elektroninio pašto </w:t>
      </w:r>
      <w:proofErr w:type="spellStart"/>
      <w:r w:rsidRPr="00AC0529">
        <w:rPr>
          <w:rFonts w:ascii="Times New Roman" w:eastAsia="Calibri" w:hAnsi="Times New Roman" w:cs="Times New Roman"/>
          <w:bCs/>
          <w:kern w:val="0"/>
          <w:sz w:val="24"/>
          <w:szCs w:val="24"/>
          <w14:ligatures w14:val="none"/>
        </w:rPr>
        <w:t>adresu</w:t>
      </w:r>
      <w:hyperlink r:id="rId7" w:history="1">
        <w:r w:rsidR="00F5491E" w:rsidRPr="009F0CF2">
          <w:rPr>
            <w:rStyle w:val="Hipersaitas"/>
            <w:rFonts w:ascii="Times New Roman" w:eastAsia="Calibri" w:hAnsi="Times New Roman" w:cs="Times New Roman"/>
            <w:bCs/>
            <w:kern w:val="0"/>
            <w:sz w:val="24"/>
            <w:szCs w:val="24"/>
            <w14:ligatures w14:val="none"/>
          </w:rPr>
          <w:t>projektai@lakd.lt</w:t>
        </w:r>
        <w:proofErr w:type="spellEnd"/>
      </w:hyperlink>
      <w:r w:rsidRPr="00AC0529">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AC0529">
        <w:rPr>
          <w:rFonts w:ascii="Times New Roman" w:eastAsia="Calibri" w:hAnsi="Times New Roman" w:cs="Times New Roman"/>
          <w:bCs/>
          <w:kern w:val="0"/>
          <w:sz w:val="24"/>
          <w:szCs w:val="24"/>
          <w14:ligatures w14:val="none"/>
        </w:rPr>
        <w:t xml:space="preserve"> </w:t>
      </w:r>
      <w:r w:rsidRPr="00AC0529">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BE181B" w:rsidRPr="00BE181B" w14:paraId="1E363BA8" w14:textId="77777777" w:rsidTr="00974885">
        <w:trPr>
          <w:trHeight w:val="322"/>
        </w:trPr>
        <w:tc>
          <w:tcPr>
            <w:tcW w:w="1266" w:type="dxa"/>
          </w:tcPr>
          <w:p w14:paraId="1C694C12" w14:textId="2C515377" w:rsidR="00F26EAE" w:rsidRPr="00BE181B"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BE181B">
              <w:rPr>
                <w:rFonts w:ascii="Times New Roman" w:eastAsia="Calibri" w:hAnsi="Times New Roman" w:cs="Times New Roman"/>
                <w:bCs/>
                <w:i/>
                <w:iCs/>
                <w:sz w:val="24"/>
                <w:szCs w:val="24"/>
              </w:rPr>
              <w:t>1</w:t>
            </w:r>
          </w:p>
        </w:tc>
        <w:tc>
          <w:tcPr>
            <w:tcW w:w="5803" w:type="dxa"/>
          </w:tcPr>
          <w:p w14:paraId="79C89728" w14:textId="12C3A0E6" w:rsidR="00F26EAE" w:rsidRPr="00BE181B" w:rsidRDefault="00F11F09" w:rsidP="00FB5203">
            <w:pPr>
              <w:tabs>
                <w:tab w:val="left" w:pos="426"/>
              </w:tabs>
              <w:suppressAutoHyphens/>
              <w:contextualSpacing/>
              <w:jc w:val="both"/>
              <w:rPr>
                <w:rFonts w:ascii="Times New Roman" w:eastAsia="Calibri" w:hAnsi="Times New Roman" w:cs="Times New Roman"/>
                <w:bCs/>
                <w:i/>
                <w:iCs/>
                <w:sz w:val="24"/>
                <w:szCs w:val="24"/>
              </w:rPr>
            </w:pPr>
            <w:r w:rsidRPr="00F11F09">
              <w:rPr>
                <w:rFonts w:ascii="Times New Roman" w:eastAsia="Calibri" w:hAnsi="Times New Roman" w:cs="Times New Roman"/>
                <w:bCs/>
                <w:i/>
                <w:iCs/>
                <w:sz w:val="24"/>
                <w:szCs w:val="24"/>
              </w:rPr>
              <w:t>Magistralinio kelio A14 Vilnius-Utena ruožo nuo 93,726 iki 95,653 km rekonstravimas</w:t>
            </w:r>
          </w:p>
        </w:tc>
        <w:tc>
          <w:tcPr>
            <w:tcW w:w="2280" w:type="dxa"/>
          </w:tcPr>
          <w:p w14:paraId="1F5BC235" w14:textId="2E9E7581" w:rsidR="00F26EAE" w:rsidRPr="00BE181B" w:rsidRDefault="00F11F09"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F11F09">
              <w:rPr>
                <w:rFonts w:ascii="Times New Roman" w:eastAsia="Calibri" w:hAnsi="Times New Roman" w:cs="Times New Roman"/>
                <w:bCs/>
                <w:i/>
                <w:iCs/>
                <w:sz w:val="24"/>
                <w:szCs w:val="24"/>
              </w:rPr>
              <w:t>2021-306-P-1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BE181B">
        <w:rPr>
          <w:rFonts w:ascii="Times New Roman" w:eastAsia="Calibri" w:hAnsi="Times New Roman" w:cs="Times New Roman"/>
          <w:kern w:val="0"/>
          <w:sz w:val="24"/>
          <w:szCs w:val="24"/>
          <w14:ligatures w14:val="none"/>
        </w:rPr>
        <w:t xml:space="preserve">Ginčų sprendimo, Pagrindinės pirkimo sutarties </w:t>
      </w:r>
      <w:r w:rsidRPr="004A66C1">
        <w:rPr>
          <w:rFonts w:ascii="Times New Roman" w:eastAsia="Calibri" w:hAnsi="Times New Roman" w:cs="Times New Roman"/>
          <w:kern w:val="0"/>
          <w:sz w:val="24"/>
          <w:szCs w:val="24"/>
          <w14:ligatures w14:val="none"/>
        </w:rPr>
        <w:t>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4380DE3C" w14:textId="77777777" w:rsidR="00AC0529" w:rsidRDefault="00AC0529"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774ED9A8" w14:textId="77777777" w:rsidR="00AC0529" w:rsidRDefault="00AC0529"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668FD826" w14:textId="77777777" w:rsidR="00AC0529" w:rsidRPr="004A66C1" w:rsidRDefault="00AC0529" w:rsidP="00AC0529">
            <w:pPr>
              <w:suppressAutoHyphens/>
              <w:spacing w:after="0" w:line="240" w:lineRule="auto"/>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7C4B357A"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5D47E1DD" w14:textId="2BE11765" w:rsidR="004A66C1" w:rsidRPr="004A66C1" w:rsidRDefault="00AC0529"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  </w:t>
            </w:r>
            <w:r w:rsidR="004A66C1" w:rsidRPr="004A66C1">
              <w:rPr>
                <w:rFonts w:ascii="Times New Roman" w:eastAsia="Calibri" w:hAnsi="Times New Roman" w:cs="Times New Roman"/>
                <w:b/>
                <w:kern w:val="0"/>
                <w:sz w:val="24"/>
                <w:szCs w:val="24"/>
                <w14:ligatures w14:val="none"/>
              </w:rPr>
              <w:t>Tiekėjas</w:t>
            </w:r>
          </w:p>
          <w:p w14:paraId="3B34CFC4" w14:textId="77777777" w:rsidR="00AC0529" w:rsidRPr="00961882" w:rsidRDefault="00AC0529" w:rsidP="00AC0529">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UAB Laboratorinių bandymų centras</w:t>
            </w:r>
          </w:p>
          <w:p w14:paraId="74135E2D" w14:textId="77777777" w:rsidR="00AC0529" w:rsidRPr="00961882" w:rsidRDefault="00AC0529" w:rsidP="00AC0529">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2610EB98" w14:textId="77777777" w:rsidR="00AC0529" w:rsidRPr="00961882" w:rsidRDefault="00AC0529" w:rsidP="00AC0529">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LT-52308 Kaunas</w:t>
            </w:r>
          </w:p>
          <w:p w14:paraId="722AFACF" w14:textId="77777777" w:rsidR="00AC0529" w:rsidRPr="00961882" w:rsidRDefault="00AC0529" w:rsidP="00AC0529">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 xml:space="preserve">Duomenys kaupiami ir saugomi </w:t>
            </w:r>
          </w:p>
          <w:p w14:paraId="75E4DA2C" w14:textId="77777777" w:rsidR="00AC0529" w:rsidRPr="00961882" w:rsidRDefault="00AC0529" w:rsidP="00AC0529">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Juridinių asmenų registre</w:t>
            </w:r>
          </w:p>
          <w:p w14:paraId="6792B74D" w14:textId="77777777" w:rsidR="00AC0529" w:rsidRPr="00961882" w:rsidRDefault="00AC0529" w:rsidP="00AC0529">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kodas 135641038</w:t>
            </w:r>
          </w:p>
          <w:p w14:paraId="028F05C7" w14:textId="77777777" w:rsidR="00AC0529" w:rsidRPr="00961882" w:rsidRDefault="00AC0529" w:rsidP="00AC0529">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Telefonas (8 37)  456333</w:t>
            </w:r>
          </w:p>
          <w:p w14:paraId="43DD5FFC" w14:textId="77777777" w:rsidR="00AC0529" w:rsidRPr="00961882" w:rsidRDefault="00AC0529" w:rsidP="00AC0529">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sz w:val="24"/>
                <w:szCs w:val="24"/>
              </w:rPr>
              <w:t xml:space="preserve">El. paštas </w:t>
            </w:r>
            <w:hyperlink r:id="rId8" w:history="1">
              <w:r w:rsidRPr="00961882">
                <w:rPr>
                  <w:rFonts w:ascii="Times New Roman" w:hAnsi="Times New Roman" w:cs="Times New Roman"/>
                  <w:i/>
                  <w:iCs/>
                  <w:color w:val="0000FF"/>
                  <w:sz w:val="24"/>
                  <w:szCs w:val="24"/>
                  <w:u w:val="single"/>
                </w:rPr>
                <w:t>lbc</w:t>
              </w:r>
              <w:r w:rsidRPr="00961882">
                <w:rPr>
                  <w:rFonts w:ascii="Times New Roman" w:hAnsi="Times New Roman" w:cs="Times New Roman"/>
                  <w:i/>
                  <w:iCs/>
                  <w:color w:val="0000FF"/>
                  <w:sz w:val="24"/>
                  <w:szCs w:val="24"/>
                  <w:u w:val="single"/>
                  <w:lang w:val="en-US"/>
                </w:rPr>
                <w:t>@</w:t>
              </w:r>
              <w:proofErr w:type="spellStart"/>
              <w:r w:rsidRPr="00961882">
                <w:rPr>
                  <w:rFonts w:ascii="Times New Roman" w:hAnsi="Times New Roman" w:cs="Times New Roman"/>
                  <w:i/>
                  <w:iCs/>
                  <w:color w:val="0000FF"/>
                  <w:sz w:val="24"/>
                  <w:szCs w:val="24"/>
                  <w:u w:val="single"/>
                </w:rPr>
                <w:t>lbc.lt</w:t>
              </w:r>
              <w:proofErr w:type="spellEnd"/>
            </w:hyperlink>
          </w:p>
          <w:p w14:paraId="1EB82556" w14:textId="77777777" w:rsidR="00AC0529" w:rsidRPr="00961882" w:rsidRDefault="00AC0529" w:rsidP="00AC0529">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i/>
                <w:iCs/>
                <w:sz w:val="24"/>
                <w:szCs w:val="24"/>
              </w:rPr>
              <w:t xml:space="preserve">AB </w:t>
            </w:r>
            <w:smartTag w:uri="urn:schemas-microsoft-com:office:smarttags" w:element="stockticker">
              <w:r w:rsidRPr="00961882">
                <w:rPr>
                  <w:rFonts w:ascii="Times New Roman" w:hAnsi="Times New Roman" w:cs="Times New Roman"/>
                  <w:i/>
                  <w:iCs/>
                  <w:sz w:val="24"/>
                  <w:szCs w:val="24"/>
                </w:rPr>
                <w:t>SEB</w:t>
              </w:r>
            </w:smartTag>
            <w:r w:rsidRPr="00961882">
              <w:rPr>
                <w:rFonts w:ascii="Times New Roman" w:hAnsi="Times New Roman" w:cs="Times New Roman"/>
                <w:i/>
                <w:iCs/>
                <w:sz w:val="24"/>
                <w:szCs w:val="24"/>
              </w:rPr>
              <w:t xml:space="preserve"> BANKAS</w:t>
            </w:r>
          </w:p>
          <w:p w14:paraId="197D161B" w14:textId="659DB742" w:rsidR="00AC0529" w:rsidRPr="00AC0529" w:rsidRDefault="00AC0529" w:rsidP="00AC0529">
            <w:pPr>
              <w:pStyle w:val="Sraopastraipa"/>
              <w:numPr>
                <w:ilvl w:val="0"/>
                <w:numId w:val="3"/>
              </w:numPr>
              <w:tabs>
                <w:tab w:val="left" w:pos="459"/>
                <w:tab w:val="num" w:pos="567"/>
              </w:tabs>
              <w:suppressAutoHyphens/>
              <w:spacing w:after="0" w:line="240" w:lineRule="auto"/>
              <w:rPr>
                <w:rFonts w:ascii="Times New Roman" w:hAnsi="Times New Roman" w:cs="Times New Roman"/>
                <w:sz w:val="24"/>
                <w:szCs w:val="24"/>
              </w:rPr>
            </w:pPr>
            <w:r w:rsidRPr="00AC0529">
              <w:rPr>
                <w:rFonts w:ascii="Times New Roman" w:hAnsi="Times New Roman" w:cs="Times New Roman"/>
                <w:sz w:val="24"/>
                <w:szCs w:val="24"/>
              </w:rPr>
              <w:t>s. LT41 7044 0600 0348 8644</w:t>
            </w:r>
          </w:p>
          <w:p w14:paraId="6EC5D6AF" w14:textId="77777777" w:rsidR="00AC0529" w:rsidRDefault="00AC0529" w:rsidP="00AC0529">
            <w:pPr>
              <w:tabs>
                <w:tab w:val="left" w:pos="459"/>
                <w:tab w:val="num" w:pos="567"/>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585BB961" w14:textId="1933A2D6" w:rsidR="004A66C1" w:rsidRPr="004A66C1" w:rsidRDefault="00AC0529" w:rsidP="00F5491E">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   </w:t>
            </w:r>
          </w:p>
          <w:p w14:paraId="51E392D5"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187FDCED"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9482B" w14:textId="77777777" w:rsidR="004B6123" w:rsidRDefault="004B6123" w:rsidP="004A66C1">
      <w:pPr>
        <w:spacing w:after="0" w:line="240" w:lineRule="auto"/>
      </w:pPr>
      <w:r>
        <w:separator/>
      </w:r>
    </w:p>
  </w:endnote>
  <w:endnote w:type="continuationSeparator" w:id="0">
    <w:p w14:paraId="55F5A7DF" w14:textId="77777777" w:rsidR="004B6123" w:rsidRDefault="004B6123"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9CC29" w14:textId="77777777" w:rsidR="004B6123" w:rsidRDefault="004B6123" w:rsidP="004A66C1">
      <w:pPr>
        <w:spacing w:after="0" w:line="240" w:lineRule="auto"/>
      </w:pPr>
      <w:r>
        <w:separator/>
      </w:r>
    </w:p>
  </w:footnote>
  <w:footnote w:type="continuationSeparator" w:id="0">
    <w:p w14:paraId="09522B93" w14:textId="77777777" w:rsidR="004B6123" w:rsidRDefault="004B6123"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16042C6"/>
    <w:multiLevelType w:val="hybridMultilevel"/>
    <w:tmpl w:val="A7BA2BF2"/>
    <w:lvl w:ilvl="0" w:tplc="C3A8AB1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8108278">
    <w:abstractNumId w:val="0"/>
  </w:num>
  <w:num w:numId="2" w16cid:durableId="2023386065">
    <w:abstractNumId w:val="1"/>
  </w:num>
  <w:num w:numId="3" w16cid:durableId="155453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49D2"/>
    <w:rsid w:val="00046875"/>
    <w:rsid w:val="00057CD6"/>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2D17"/>
    <w:rsid w:val="001164AD"/>
    <w:rsid w:val="00140C74"/>
    <w:rsid w:val="00147821"/>
    <w:rsid w:val="001571B9"/>
    <w:rsid w:val="00157E53"/>
    <w:rsid w:val="00191492"/>
    <w:rsid w:val="00193CB8"/>
    <w:rsid w:val="001946DB"/>
    <w:rsid w:val="001A3023"/>
    <w:rsid w:val="001B22A4"/>
    <w:rsid w:val="001C2DFB"/>
    <w:rsid w:val="001F05D1"/>
    <w:rsid w:val="002109F2"/>
    <w:rsid w:val="00212B1D"/>
    <w:rsid w:val="00213C4C"/>
    <w:rsid w:val="0021682A"/>
    <w:rsid w:val="00221986"/>
    <w:rsid w:val="0022456B"/>
    <w:rsid w:val="00224B5B"/>
    <w:rsid w:val="002270A8"/>
    <w:rsid w:val="00236E12"/>
    <w:rsid w:val="002772E8"/>
    <w:rsid w:val="002945D4"/>
    <w:rsid w:val="002A51D3"/>
    <w:rsid w:val="002E7317"/>
    <w:rsid w:val="00312BD7"/>
    <w:rsid w:val="00320DBA"/>
    <w:rsid w:val="003366FC"/>
    <w:rsid w:val="00351B39"/>
    <w:rsid w:val="003551F9"/>
    <w:rsid w:val="003A1A13"/>
    <w:rsid w:val="003A4326"/>
    <w:rsid w:val="003B13A6"/>
    <w:rsid w:val="003C1E65"/>
    <w:rsid w:val="003E211B"/>
    <w:rsid w:val="003E3060"/>
    <w:rsid w:val="003E51C7"/>
    <w:rsid w:val="003F628B"/>
    <w:rsid w:val="004162DD"/>
    <w:rsid w:val="00420F72"/>
    <w:rsid w:val="00421756"/>
    <w:rsid w:val="00432F2A"/>
    <w:rsid w:val="00443380"/>
    <w:rsid w:val="00472B45"/>
    <w:rsid w:val="004752C1"/>
    <w:rsid w:val="00484CD2"/>
    <w:rsid w:val="004924D3"/>
    <w:rsid w:val="00493B4D"/>
    <w:rsid w:val="00494DAE"/>
    <w:rsid w:val="004A66C1"/>
    <w:rsid w:val="004B0A79"/>
    <w:rsid w:val="004B6123"/>
    <w:rsid w:val="004B642C"/>
    <w:rsid w:val="004C3AAD"/>
    <w:rsid w:val="004C6C0D"/>
    <w:rsid w:val="004D1729"/>
    <w:rsid w:val="004D6109"/>
    <w:rsid w:val="004E62F5"/>
    <w:rsid w:val="004F1DC9"/>
    <w:rsid w:val="004F5DEB"/>
    <w:rsid w:val="004F5FA0"/>
    <w:rsid w:val="00501BDD"/>
    <w:rsid w:val="0053594E"/>
    <w:rsid w:val="00556822"/>
    <w:rsid w:val="0056495A"/>
    <w:rsid w:val="00595714"/>
    <w:rsid w:val="005A0638"/>
    <w:rsid w:val="005A18C8"/>
    <w:rsid w:val="005A1C97"/>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19B3"/>
    <w:rsid w:val="0068238A"/>
    <w:rsid w:val="00682AD7"/>
    <w:rsid w:val="006863A2"/>
    <w:rsid w:val="0070379D"/>
    <w:rsid w:val="00741331"/>
    <w:rsid w:val="007462A5"/>
    <w:rsid w:val="00747F34"/>
    <w:rsid w:val="0077275A"/>
    <w:rsid w:val="00781A32"/>
    <w:rsid w:val="007951A3"/>
    <w:rsid w:val="007A33CB"/>
    <w:rsid w:val="007B34FA"/>
    <w:rsid w:val="007D1F13"/>
    <w:rsid w:val="007D3D6E"/>
    <w:rsid w:val="00824B3C"/>
    <w:rsid w:val="00830941"/>
    <w:rsid w:val="0084683D"/>
    <w:rsid w:val="008615D1"/>
    <w:rsid w:val="00863A40"/>
    <w:rsid w:val="00872889"/>
    <w:rsid w:val="00874336"/>
    <w:rsid w:val="00876639"/>
    <w:rsid w:val="008922C5"/>
    <w:rsid w:val="008B0C83"/>
    <w:rsid w:val="008C4E0B"/>
    <w:rsid w:val="008C6257"/>
    <w:rsid w:val="008D11D4"/>
    <w:rsid w:val="008D5BC9"/>
    <w:rsid w:val="008D7F36"/>
    <w:rsid w:val="00900185"/>
    <w:rsid w:val="00941807"/>
    <w:rsid w:val="009449F6"/>
    <w:rsid w:val="009455E4"/>
    <w:rsid w:val="00951610"/>
    <w:rsid w:val="009634E2"/>
    <w:rsid w:val="00974208"/>
    <w:rsid w:val="00982C3B"/>
    <w:rsid w:val="00985F42"/>
    <w:rsid w:val="00986DA8"/>
    <w:rsid w:val="009B1D2C"/>
    <w:rsid w:val="009B3A5D"/>
    <w:rsid w:val="009C0137"/>
    <w:rsid w:val="009C1551"/>
    <w:rsid w:val="009F3764"/>
    <w:rsid w:val="00A21DC9"/>
    <w:rsid w:val="00A42E94"/>
    <w:rsid w:val="00A52CA4"/>
    <w:rsid w:val="00A7610C"/>
    <w:rsid w:val="00A825BE"/>
    <w:rsid w:val="00A8625B"/>
    <w:rsid w:val="00A862EB"/>
    <w:rsid w:val="00A863A5"/>
    <w:rsid w:val="00A872D2"/>
    <w:rsid w:val="00AA4BB3"/>
    <w:rsid w:val="00AB37A8"/>
    <w:rsid w:val="00AC0529"/>
    <w:rsid w:val="00AC75BA"/>
    <w:rsid w:val="00AD4983"/>
    <w:rsid w:val="00B20BE1"/>
    <w:rsid w:val="00B27C84"/>
    <w:rsid w:val="00B415A4"/>
    <w:rsid w:val="00B43AA9"/>
    <w:rsid w:val="00BA0452"/>
    <w:rsid w:val="00BC20AF"/>
    <w:rsid w:val="00BD2130"/>
    <w:rsid w:val="00BE181B"/>
    <w:rsid w:val="00BE2C47"/>
    <w:rsid w:val="00C122A1"/>
    <w:rsid w:val="00C27134"/>
    <w:rsid w:val="00C3567B"/>
    <w:rsid w:val="00C418E1"/>
    <w:rsid w:val="00C64E25"/>
    <w:rsid w:val="00C71144"/>
    <w:rsid w:val="00C85559"/>
    <w:rsid w:val="00CA12EF"/>
    <w:rsid w:val="00CA3575"/>
    <w:rsid w:val="00CC4F2B"/>
    <w:rsid w:val="00CE341A"/>
    <w:rsid w:val="00CE4850"/>
    <w:rsid w:val="00D11545"/>
    <w:rsid w:val="00D3752F"/>
    <w:rsid w:val="00D451A7"/>
    <w:rsid w:val="00D5165C"/>
    <w:rsid w:val="00D70109"/>
    <w:rsid w:val="00D74B78"/>
    <w:rsid w:val="00D86571"/>
    <w:rsid w:val="00D95414"/>
    <w:rsid w:val="00DA36FD"/>
    <w:rsid w:val="00DC2ECD"/>
    <w:rsid w:val="00DD155E"/>
    <w:rsid w:val="00DE1E8D"/>
    <w:rsid w:val="00DE524A"/>
    <w:rsid w:val="00DE669D"/>
    <w:rsid w:val="00DF2625"/>
    <w:rsid w:val="00E21185"/>
    <w:rsid w:val="00E233A5"/>
    <w:rsid w:val="00E43416"/>
    <w:rsid w:val="00E46D99"/>
    <w:rsid w:val="00E500C4"/>
    <w:rsid w:val="00E76734"/>
    <w:rsid w:val="00EC468F"/>
    <w:rsid w:val="00EE6A6E"/>
    <w:rsid w:val="00F11F09"/>
    <w:rsid w:val="00F26EAE"/>
    <w:rsid w:val="00F35890"/>
    <w:rsid w:val="00F45A2A"/>
    <w:rsid w:val="00F5491E"/>
    <w:rsid w:val="00F6668A"/>
    <w:rsid w:val="00F81879"/>
    <w:rsid w:val="00F81895"/>
    <w:rsid w:val="00F83752"/>
    <w:rsid w:val="00F84415"/>
    <w:rsid w:val="00F8537E"/>
    <w:rsid w:val="00FB5203"/>
    <w:rsid w:val="00FC0D16"/>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AC0529"/>
    <w:pPr>
      <w:ind w:left="720"/>
      <w:contextualSpacing/>
    </w:pPr>
  </w:style>
  <w:style w:type="character" w:styleId="Neapdorotaspaminjimas">
    <w:name w:val="Unresolved Mention"/>
    <w:basedOn w:val="Numatytasispastraiposriftas"/>
    <w:uiPriority w:val="99"/>
    <w:semiHidden/>
    <w:unhideWhenUsed/>
    <w:rsid w:val="00F5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5400</Words>
  <Characters>3078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161</cp:revision>
  <dcterms:created xsi:type="dcterms:W3CDTF">2023-07-07T10:15:00Z</dcterms:created>
  <dcterms:modified xsi:type="dcterms:W3CDTF">2024-11-11T06:17:00Z</dcterms:modified>
</cp:coreProperties>
</file>