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5D3B9C13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533ECD">
        <w:rPr>
          <w:rFonts w:cs="Arial"/>
          <w:sz w:val="20"/>
          <w:szCs w:val="20"/>
        </w:rPr>
        <w:t xml:space="preserve"> </w:t>
      </w:r>
      <w:r w:rsidR="00834337">
        <w:rPr>
          <w:rFonts w:cs="Arial"/>
          <w:sz w:val="20"/>
          <w:szCs w:val="20"/>
        </w:rPr>
        <w:t>V</w:t>
      </w:r>
      <w:r w:rsidR="00AD23DC" w:rsidRPr="00AD23DC">
        <w:rPr>
          <w:rFonts w:cs="Arial"/>
          <w:sz w:val="20"/>
          <w:szCs w:val="20"/>
        </w:rPr>
        <w:t xml:space="preserve">eiklos efektyvumo </w:t>
      </w:r>
      <w:r w:rsidR="00B42E73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23E1968A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500E7D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EAE7DECA734D46D69FEEFA93D36F0A77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B7266A">
            <w:t>UAB „Ignitis“</w:t>
          </w:r>
        </w:sdtContent>
      </w:sdt>
      <w:bookmarkEnd w:id="0"/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9E9D5C0" w:rsidR="00CE17F8" w:rsidRPr="00D00AD9" w:rsidRDefault="00834337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447"/>
      <w:bookmarkStart w:id="2" w:name="_Hlk57705244"/>
      <w:r w:rsidRPr="006302EF">
        <w:rPr>
          <w:rFonts w:cs="Arial"/>
          <w:bCs/>
          <w:sz w:val="20"/>
          <w:szCs w:val="20"/>
        </w:rPr>
        <w:t>Pirkimo objektas –</w:t>
      </w:r>
      <w:bookmarkEnd w:id="1"/>
      <w:r w:rsidRPr="006302EF">
        <w:rPr>
          <w:rFonts w:cs="Arial"/>
          <w:bCs/>
          <w:sz w:val="20"/>
          <w:szCs w:val="20"/>
        </w:rPr>
        <w:t xml:space="preserve"> </w:t>
      </w:r>
      <w:bookmarkEnd w:id="2"/>
      <w:r>
        <w:rPr>
          <w:rFonts w:cs="Arial"/>
          <w:sz w:val="20"/>
          <w:szCs w:val="20"/>
        </w:rPr>
        <w:t>V</w:t>
      </w:r>
      <w:r w:rsidRPr="00AD23DC">
        <w:rPr>
          <w:rFonts w:cs="Arial"/>
          <w:sz w:val="20"/>
          <w:szCs w:val="20"/>
        </w:rPr>
        <w:t xml:space="preserve">eiklos efektyvumo </w:t>
      </w:r>
      <w:r>
        <w:rPr>
          <w:rFonts w:cs="Arial"/>
          <w:sz w:val="20"/>
          <w:szCs w:val="20"/>
        </w:rPr>
        <w:t>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41FA93E1" w14:textId="6BFCFEC4" w:rsidR="00B42E73" w:rsidRDefault="00B42E73" w:rsidP="00B42E7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bookmarkStart w:id="3" w:name="_Hlk57118789"/>
      <w:r w:rsidRPr="00B7266A">
        <w:rPr>
          <w:rFonts w:cs="Arial"/>
          <w:bCs/>
          <w:sz w:val="20"/>
          <w:szCs w:val="20"/>
        </w:rPr>
        <w:t>Preliminarus Paslaugų kiekis (apimtis) išreiškiamas maksimal</w:t>
      </w:r>
      <w:r w:rsidR="00834337" w:rsidRPr="00B7266A">
        <w:rPr>
          <w:rFonts w:cs="Arial"/>
          <w:bCs/>
          <w:sz w:val="20"/>
          <w:szCs w:val="20"/>
        </w:rPr>
        <w:t>ia</w:t>
      </w:r>
      <w:r w:rsidRPr="00B7266A">
        <w:rPr>
          <w:rFonts w:cs="Arial"/>
          <w:bCs/>
          <w:sz w:val="20"/>
          <w:szCs w:val="20"/>
        </w:rPr>
        <w:t xml:space="preserve"> pirkimui (sutarčiai) skirt</w:t>
      </w:r>
      <w:r w:rsidR="00834337" w:rsidRPr="00B7266A">
        <w:rPr>
          <w:rFonts w:cs="Arial"/>
          <w:bCs/>
          <w:sz w:val="20"/>
          <w:szCs w:val="20"/>
        </w:rPr>
        <w:t>a</w:t>
      </w:r>
      <w:r w:rsidRPr="00B7266A">
        <w:rPr>
          <w:rFonts w:cs="Arial"/>
          <w:bCs/>
          <w:sz w:val="20"/>
          <w:szCs w:val="20"/>
        </w:rPr>
        <w:t xml:space="preserve"> lėšų suma – </w:t>
      </w:r>
      <w:r w:rsidR="00B7266A" w:rsidRPr="00B7266A">
        <w:rPr>
          <w:rFonts w:cs="Arial"/>
          <w:bCs/>
          <w:sz w:val="20"/>
          <w:szCs w:val="20"/>
        </w:rPr>
        <w:t>150.000</w:t>
      </w:r>
      <w:r w:rsidRPr="00B7266A">
        <w:rPr>
          <w:rFonts w:cs="Arial"/>
          <w:bCs/>
          <w:sz w:val="20"/>
          <w:szCs w:val="20"/>
        </w:rPr>
        <w:t>,</w:t>
      </w:r>
      <w:r w:rsidR="00B7266A" w:rsidRPr="00B7266A">
        <w:rPr>
          <w:rFonts w:cs="Arial"/>
          <w:bCs/>
          <w:sz w:val="20"/>
          <w:szCs w:val="20"/>
        </w:rPr>
        <w:t>00</w:t>
      </w:r>
      <w:r w:rsidRPr="00B7266A">
        <w:rPr>
          <w:rFonts w:cs="Arial"/>
          <w:bCs/>
          <w:sz w:val="20"/>
          <w:szCs w:val="20"/>
        </w:rPr>
        <w:t xml:space="preserve"> EUR</w:t>
      </w:r>
      <w:bookmarkStart w:id="4" w:name="_GoBack"/>
      <w:bookmarkEnd w:id="4"/>
      <w:r w:rsidRPr="00E23ED8">
        <w:rPr>
          <w:rFonts w:cs="Arial"/>
          <w:bCs/>
          <w:sz w:val="20"/>
          <w:szCs w:val="20"/>
        </w:rPr>
        <w:t xml:space="preserve">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834337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4507E984" w14:textId="6D1C8DC6" w:rsidR="00B42E73" w:rsidRPr="00E23ED8" w:rsidRDefault="00B42E73" w:rsidP="00B42E7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834337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bookmarkEnd w:id="3"/>
    <w:p w14:paraId="7C4DA52F" w14:textId="77777777" w:rsidR="00C65BF0" w:rsidRDefault="00C65BF0" w:rsidP="00C65BF0">
      <w:pPr>
        <w:pStyle w:val="ListParagraph"/>
        <w:tabs>
          <w:tab w:val="left" w:pos="284"/>
        </w:tabs>
        <w:spacing w:before="60" w:after="60"/>
        <w:ind w:left="993" w:firstLine="0"/>
        <w:jc w:val="both"/>
        <w:rPr>
          <w:rFonts w:cs="Arial"/>
          <w:b/>
          <w:bCs/>
          <w:sz w:val="19"/>
          <w:szCs w:val="19"/>
        </w:rPr>
      </w:pPr>
    </w:p>
    <w:p w14:paraId="4D51783F" w14:textId="2499BDBD" w:rsidR="00C65BF0" w:rsidRPr="004C4262" w:rsidRDefault="002B4BC7" w:rsidP="00B42E7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4C4262">
        <w:rPr>
          <w:rFonts w:cs="Arial"/>
          <w:b/>
          <w:bCs/>
          <w:sz w:val="20"/>
          <w:szCs w:val="20"/>
        </w:rPr>
        <w:t xml:space="preserve">Veiklos </w:t>
      </w:r>
      <w:r w:rsidR="0049799C">
        <w:rPr>
          <w:rFonts w:cs="Arial"/>
          <w:b/>
          <w:bCs/>
          <w:sz w:val="20"/>
          <w:szCs w:val="20"/>
        </w:rPr>
        <w:t xml:space="preserve">efektyvumo </w:t>
      </w:r>
      <w:r w:rsidRPr="004C4262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12"/>
        <w:gridCol w:w="2551"/>
      </w:tblGrid>
      <w:tr w:rsidR="00B42E73" w:rsidRPr="00834337" w14:paraId="5C901CBC" w14:textId="6654A9B7" w:rsidTr="00834337">
        <w:trPr>
          <w:trHeight w:val="30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F425" w14:textId="77777777" w:rsidR="00B42E73" w:rsidRPr="00834337" w:rsidRDefault="00B42E7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F1C1" w14:textId="77777777" w:rsidR="00B42E73" w:rsidRPr="00834337" w:rsidRDefault="00B42E73" w:rsidP="00B42E7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496F" w14:textId="77777777" w:rsidR="00B42E73" w:rsidRPr="00834337" w:rsidRDefault="00B42E73" w:rsidP="00B42E7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B42E73" w:rsidRPr="00834337" w14:paraId="53D2BFC7" w14:textId="6414322F" w:rsidTr="00834337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4A57" w14:textId="1FB1CFA2" w:rsidR="00B42E73" w:rsidRPr="00834337" w:rsidRDefault="00B42E73" w:rsidP="00B42E7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B09E" w14:textId="32270C33" w:rsidR="00B42E73" w:rsidRPr="00834337" w:rsidRDefault="00B42E73" w:rsidP="00B42E73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sz w:val="20"/>
                <w:szCs w:val="20"/>
              </w:rPr>
              <w:t>Veiklos efektyvumo paslaugos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5C0A" w14:textId="1E2F230D" w:rsidR="00B42E73" w:rsidRPr="00834337" w:rsidRDefault="00B42E73" w:rsidP="00B42E73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color w:val="000000"/>
                <w:sz w:val="20"/>
                <w:szCs w:val="20"/>
              </w:rPr>
              <w:t>Valanda</w:t>
            </w:r>
          </w:p>
        </w:tc>
      </w:tr>
    </w:tbl>
    <w:p w14:paraId="2B1B71FE" w14:textId="54AA6774" w:rsidR="00B42E73" w:rsidRDefault="00B42E73" w:rsidP="0083433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bookmarkStart w:id="5" w:name="_Hlk57118265"/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Veiklos efektyvumo</w:t>
      </w:r>
      <w:r w:rsidRPr="003E1F23">
        <w:rPr>
          <w:rFonts w:cs="Arial"/>
          <w:bCs/>
          <w:sz w:val="20"/>
          <w:szCs w:val="20"/>
        </w:rPr>
        <w:t xml:space="preserve"> paslaugas</w:t>
      </w:r>
      <w:r>
        <w:rPr>
          <w:rFonts w:cs="Arial"/>
          <w:bCs/>
          <w:sz w:val="20"/>
          <w:szCs w:val="20"/>
        </w:rPr>
        <w:t>.</w:t>
      </w:r>
    </w:p>
    <w:p w14:paraId="05257665" w14:textId="53BF67FE" w:rsidR="00B42E73" w:rsidRPr="005C43BE" w:rsidRDefault="00B42E73" w:rsidP="0083433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>
        <w:rPr>
          <w:rFonts w:cs="Arial"/>
          <w:bCs/>
          <w:sz w:val="20"/>
          <w:szCs w:val="20"/>
        </w:rPr>
        <w:t>Veiklos efektyvumo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bookmarkEnd w:id="5"/>
    <w:p w14:paraId="6FA8DEEC" w14:textId="77777777" w:rsidR="0054193F" w:rsidRPr="00533ECD" w:rsidRDefault="0054193F" w:rsidP="00533ECD">
      <w:pPr>
        <w:tabs>
          <w:tab w:val="left" w:pos="709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6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6"/>
    </w:p>
    <w:p w14:paraId="4DD0AE82" w14:textId="1EDD7479" w:rsidR="003E1F23" w:rsidRPr="00B41FF4" w:rsidRDefault="00533ECD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7" w:name="_Ref399245810"/>
      <w:r>
        <w:rPr>
          <w:rFonts w:cs="Arial"/>
          <w:b/>
          <w:sz w:val="20"/>
          <w:szCs w:val="20"/>
        </w:rPr>
        <w:t xml:space="preserve"> </w:t>
      </w:r>
      <w:r w:rsidR="003E1F23" w:rsidRPr="00B41FF4">
        <w:rPr>
          <w:rFonts w:cs="Arial"/>
          <w:b/>
          <w:sz w:val="20"/>
          <w:szCs w:val="20"/>
        </w:rPr>
        <w:t xml:space="preserve">Veiklos </w:t>
      </w:r>
      <w:r w:rsidR="00BF5723">
        <w:rPr>
          <w:rFonts w:cs="Arial"/>
          <w:b/>
          <w:sz w:val="20"/>
          <w:szCs w:val="20"/>
        </w:rPr>
        <w:t xml:space="preserve">efektyvumo </w:t>
      </w:r>
      <w:r w:rsidR="003E1F23" w:rsidRPr="00B41FF4">
        <w:rPr>
          <w:rFonts w:cs="Arial"/>
          <w:b/>
          <w:sz w:val="20"/>
          <w:szCs w:val="20"/>
        </w:rPr>
        <w:t>paslaugos</w:t>
      </w:r>
    </w:p>
    <w:p w14:paraId="3D217A37" w14:textId="3348072C" w:rsidR="0090702B" w:rsidRPr="0034052D" w:rsidRDefault="0034052D" w:rsidP="0090702B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4052D">
        <w:rPr>
          <w:rFonts w:cs="Arial"/>
          <w:sz w:val="20"/>
          <w:szCs w:val="20"/>
        </w:rPr>
        <w:t xml:space="preserve">Veiklos </w:t>
      </w:r>
      <w:r w:rsidR="00BF5723">
        <w:rPr>
          <w:rFonts w:cs="Arial"/>
          <w:sz w:val="20"/>
          <w:szCs w:val="20"/>
        </w:rPr>
        <w:t xml:space="preserve">efektyvumo </w:t>
      </w:r>
      <w:r w:rsidRPr="0034052D">
        <w:rPr>
          <w:rFonts w:cs="Arial"/>
          <w:sz w:val="20"/>
          <w:szCs w:val="20"/>
        </w:rPr>
        <w:t>paslaug</w:t>
      </w:r>
      <w:r w:rsidR="00B42E73">
        <w:rPr>
          <w:rFonts w:cs="Arial"/>
          <w:sz w:val="20"/>
          <w:szCs w:val="20"/>
        </w:rPr>
        <w:t>ų detalizavimas</w:t>
      </w:r>
      <w:r w:rsidRPr="0034052D">
        <w:rPr>
          <w:rFonts w:cs="Arial"/>
          <w:sz w:val="20"/>
          <w:szCs w:val="20"/>
        </w:rPr>
        <w:t>:</w:t>
      </w:r>
    </w:p>
    <w:tbl>
      <w:tblPr>
        <w:tblW w:w="9629" w:type="dxa"/>
        <w:tblInd w:w="5" w:type="dxa"/>
        <w:tblLook w:val="04A0" w:firstRow="1" w:lastRow="0" w:firstColumn="1" w:lastColumn="0" w:noHBand="0" w:noVBand="1"/>
      </w:tblPr>
      <w:tblGrid>
        <w:gridCol w:w="841"/>
        <w:gridCol w:w="2126"/>
        <w:gridCol w:w="6662"/>
      </w:tblGrid>
      <w:tr w:rsidR="00B42E73" w:rsidRPr="00834337" w14:paraId="3CE8CF99" w14:textId="77777777" w:rsidTr="00B42E73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7"/>
          <w:p w14:paraId="30CA0FEA" w14:textId="77777777" w:rsidR="00B42E73" w:rsidRPr="00834337" w:rsidRDefault="00B42E73" w:rsidP="00B42E7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D14233" w14:textId="77777777" w:rsidR="00B42E73" w:rsidRPr="00834337" w:rsidRDefault="00B42E73" w:rsidP="00B42E7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E56F3A" w14:textId="77777777" w:rsidR="00B42E73" w:rsidRPr="00834337" w:rsidRDefault="00B42E73" w:rsidP="00B42E7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B42E73" w:rsidRPr="00834337" w14:paraId="6E0D4FF1" w14:textId="77777777" w:rsidTr="00B42E7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E04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DCCB2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 xml:space="preserve">Automatizavimo sprendinio vystymas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C26C" w14:textId="77777777" w:rsidR="00B42E73" w:rsidRPr="00834337" w:rsidRDefault="00B42E73" w:rsidP="00B42E73">
            <w:pPr>
              <w:ind w:firstLine="0"/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Automatizavimo sprendinio vystymą apima:</w:t>
            </w:r>
          </w:p>
          <w:p w14:paraId="23598985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 w:themeColor="text1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proceso analizė automatizavimo sprendimo pritaikymui;</w:t>
            </w:r>
          </w:p>
          <w:p w14:paraId="3CFD7674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pagalba rengiant proceso automatizavimo dokumentaciją;</w:t>
            </w:r>
          </w:p>
          <w:p w14:paraId="62B61063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 w:themeColor="text1"/>
                <w:sz w:val="20"/>
                <w:szCs w:val="20"/>
                <w:lang w:val="en-US" w:eastAsia="lt-LT"/>
              </w:rPr>
            </w:pP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sprendinio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vystymas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;</w:t>
            </w:r>
          </w:p>
          <w:p w14:paraId="7D9F9468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sprendinio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testavimas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.</w:t>
            </w:r>
          </w:p>
        </w:tc>
      </w:tr>
      <w:tr w:rsidR="00B42E73" w:rsidRPr="00834337" w14:paraId="6D446FBC" w14:textId="77777777" w:rsidTr="00B42E7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BA0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AB254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>Automatizavimo sprendinio priežiūra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2C1E" w14:textId="77777777" w:rsidR="00B42E73" w:rsidRPr="00834337" w:rsidRDefault="00B42E73" w:rsidP="00B42E73">
            <w:pPr>
              <w:ind w:firstLine="0"/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Automatizavimo sprendinio priežiūrą apima:</w:t>
            </w:r>
          </w:p>
          <w:p w14:paraId="2F512815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sprendinio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koregavimas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pritaikant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jį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automatizuoto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proceso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pokyčių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arba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IT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sistemų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turinčių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įtakos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sprendinio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veikimui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pokyčių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;</w:t>
            </w:r>
          </w:p>
          <w:p w14:paraId="577B7569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periodinis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sprendinio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veikimo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monitoringas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;</w:t>
            </w:r>
          </w:p>
          <w:p w14:paraId="3654176F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problemų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šalinimas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;</w:t>
            </w:r>
          </w:p>
          <w:p w14:paraId="5313D271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programinės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įrangos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aplikacijų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palaikymas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ir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atnaujinimas</w:t>
            </w:r>
            <w:proofErr w:type="spellEnd"/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;</w:t>
            </w:r>
          </w:p>
          <w:p w14:paraId="3A7D2014" w14:textId="77777777" w:rsidR="00B42E73" w:rsidRPr="00834337" w:rsidRDefault="00B42E73" w:rsidP="00B42E73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39" w:firstLine="0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konsultacijos automatizavimo sprendinių klausimais.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03CBA5DC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lastRenderedPageBreak/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5BAC4C08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0CF2DBD8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EA1B57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48DB5" w14:textId="77777777" w:rsidR="00605599" w:rsidRDefault="00605599" w:rsidP="00427694">
      <w:r>
        <w:separator/>
      </w:r>
    </w:p>
  </w:endnote>
  <w:endnote w:type="continuationSeparator" w:id="0">
    <w:p w14:paraId="542616DD" w14:textId="77777777" w:rsidR="00605599" w:rsidRDefault="00605599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70E5" w14:textId="77777777" w:rsidR="000247CB" w:rsidRDefault="00024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60B7" w14:textId="77777777" w:rsidR="000247CB" w:rsidRDefault="00024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650F" w14:textId="77777777" w:rsidR="000247CB" w:rsidRDefault="0002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E7E78" w14:textId="77777777" w:rsidR="00605599" w:rsidRDefault="00605599" w:rsidP="00427694">
      <w:r>
        <w:separator/>
      </w:r>
    </w:p>
  </w:footnote>
  <w:footnote w:type="continuationSeparator" w:id="0">
    <w:p w14:paraId="4A57CB37" w14:textId="77777777" w:rsidR="00605599" w:rsidRDefault="00605599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4CE4" w14:textId="77777777" w:rsidR="000247CB" w:rsidRDefault="00024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2A2B1BBA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2A2B1BBA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6BFD" w14:textId="77777777" w:rsidR="000247CB" w:rsidRDefault="00024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665176A"/>
    <w:multiLevelType w:val="hybridMultilevel"/>
    <w:tmpl w:val="E2D242CE"/>
    <w:lvl w:ilvl="0" w:tplc="3B302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60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46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C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27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A0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A2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AF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48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34755"/>
    <w:multiLevelType w:val="hybridMultilevel"/>
    <w:tmpl w:val="A3D236DE"/>
    <w:lvl w:ilvl="0" w:tplc="3DE8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A4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C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7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9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61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E8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07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08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0"/>
  </w:num>
  <w:num w:numId="5">
    <w:abstractNumId w:val="20"/>
  </w:num>
  <w:num w:numId="6">
    <w:abstractNumId w:val="4"/>
  </w:num>
  <w:num w:numId="7">
    <w:abstractNumId w:val="16"/>
  </w:num>
  <w:num w:numId="8">
    <w:abstractNumId w:val="5"/>
  </w:num>
  <w:num w:numId="9">
    <w:abstractNumId w:val="17"/>
  </w:num>
  <w:num w:numId="10">
    <w:abstractNumId w:val="23"/>
  </w:num>
  <w:num w:numId="11">
    <w:abstractNumId w:val="15"/>
  </w:num>
  <w:num w:numId="12">
    <w:abstractNumId w:val="3"/>
  </w:num>
  <w:num w:numId="13">
    <w:abstractNumId w:val="21"/>
  </w:num>
  <w:num w:numId="14">
    <w:abstractNumId w:val="12"/>
  </w:num>
  <w:num w:numId="15">
    <w:abstractNumId w:val="14"/>
  </w:num>
  <w:num w:numId="16">
    <w:abstractNumId w:val="12"/>
  </w:num>
  <w:num w:numId="17">
    <w:abstractNumId w:val="1"/>
  </w:num>
  <w:num w:numId="18">
    <w:abstractNumId w:val="1"/>
  </w:num>
  <w:num w:numId="19">
    <w:abstractNumId w:val="10"/>
  </w:num>
  <w:num w:numId="20">
    <w:abstractNumId w:val="9"/>
  </w:num>
  <w:num w:numId="21">
    <w:abstractNumId w:val="2"/>
  </w:num>
  <w:num w:numId="22">
    <w:abstractNumId w:val="11"/>
  </w:num>
  <w:num w:numId="23">
    <w:abstractNumId w:val="18"/>
  </w:num>
  <w:num w:numId="24">
    <w:abstractNumId w:val="19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47CB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E011C"/>
    <w:rsid w:val="000E4215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0E7D"/>
    <w:rsid w:val="00513484"/>
    <w:rsid w:val="00516E0D"/>
    <w:rsid w:val="005243F9"/>
    <w:rsid w:val="00525C20"/>
    <w:rsid w:val="00533ECD"/>
    <w:rsid w:val="0054193F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605599"/>
    <w:rsid w:val="00606179"/>
    <w:rsid w:val="00606F55"/>
    <w:rsid w:val="00617582"/>
    <w:rsid w:val="00625A51"/>
    <w:rsid w:val="00650104"/>
    <w:rsid w:val="006709BC"/>
    <w:rsid w:val="006728A3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34337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5E83"/>
    <w:rsid w:val="00993BA2"/>
    <w:rsid w:val="009A3EE4"/>
    <w:rsid w:val="009A63CF"/>
    <w:rsid w:val="009B21D0"/>
    <w:rsid w:val="009B224D"/>
    <w:rsid w:val="009C69EE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2E73"/>
    <w:rsid w:val="00B442B7"/>
    <w:rsid w:val="00B46B8C"/>
    <w:rsid w:val="00B525C5"/>
    <w:rsid w:val="00B6032A"/>
    <w:rsid w:val="00B7266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E05EA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E7DECA734D46D69FEEFA93D36F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F603-5F07-4DB0-991A-476627B2F85D}"/>
      </w:docPartPr>
      <w:docPartBody>
        <w:p w:rsidR="007E7968" w:rsidRDefault="00085A98" w:rsidP="00085A98">
          <w:pPr>
            <w:pStyle w:val="EAE7DECA734D46D69FEEFA93D36F0A77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98"/>
    <w:rsid w:val="00085A98"/>
    <w:rsid w:val="007E7968"/>
    <w:rsid w:val="00B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E7DECA734D46D69FEEFA93D36F0A77">
    <w:name w:val="EAE7DECA734D46D69FEEFA93D36F0A77"/>
    <w:rsid w:val="00085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45CAF-E790-462E-AFEE-F4F01A92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Gintarė Pociūtė</cp:lastModifiedBy>
  <cp:revision>5</cp:revision>
  <dcterms:created xsi:type="dcterms:W3CDTF">2020-11-25T10:04:00Z</dcterms:created>
  <dcterms:modified xsi:type="dcterms:W3CDTF">2020-12-14T11:04:00Z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2020-12-01T07:02:18.7443559Z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c029a89b-7ce1-46bb-84c6-cbfadaa86c86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Zivile.Kasparaviciene@ignitis.lt</vt:lpwstr>
  </property>
  <property fmtid="{D5CDD505-2E9C-101B-9397-08002B2CF9AE}" pid="14" name="MSIP_Label_190751af-2442-49a7-b7b9-9f0bcce858c9_SetDate">
    <vt:lpwstr>2020-12-01T07:02:18.7443559Z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c029a89b-7ce1-46bb-84c6-cbfadaa86c86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