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7C62A5EB" w:rsidR="001B099C" w:rsidRDefault="000D6F1A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0D6F1A">
        <w:rPr>
          <w:rFonts w:ascii="Arial" w:hAnsi="Arial" w:cs="Arial"/>
          <w:b/>
          <w:bCs/>
          <w:sz w:val="20"/>
          <w:szCs w:val="20"/>
          <w:u w:val="none"/>
          <w:lang w:val="lt-LT"/>
        </w:rPr>
        <w:t>VEIKLOS EFEKTYVUMO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2C303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1F2E23D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03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2C303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2C3031" w:rsidRPr="00786D40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3DDE1753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03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2C303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3D5469F8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03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2C3031" w:rsidRPr="00786D40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6A722D20" w:rsidR="002C3031" w:rsidRPr="004903E5" w:rsidRDefault="002C3031" w:rsidP="002C3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01FFD2DA" w:rsidR="006F31C5" w:rsidRPr="004903E5" w:rsidRDefault="002C303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4E489EDB" w:rsidR="006F31C5" w:rsidRPr="004903E5" w:rsidRDefault="002C303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0D6F1A" w:rsidRPr="00426D3A" w14:paraId="47D260BD" w14:textId="2B7FFE0D" w:rsidTr="000B35D6">
        <w:trPr>
          <w:trHeight w:val="291"/>
        </w:trPr>
        <w:tc>
          <w:tcPr>
            <w:tcW w:w="722" w:type="dxa"/>
          </w:tcPr>
          <w:p w14:paraId="37F7F3F2" w14:textId="77777777" w:rsidR="000D6F1A" w:rsidRPr="00426D3A" w:rsidRDefault="000D6F1A" w:rsidP="000D6F1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7AF64375" w:rsidR="000D6F1A" w:rsidRPr="00426D3A" w:rsidRDefault="000D6F1A" w:rsidP="000D6F1A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337">
              <w:rPr>
                <w:rFonts w:cs="Arial"/>
                <w:sz w:val="20"/>
                <w:szCs w:val="20"/>
              </w:rPr>
              <w:t>Veiklos efektyvumo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5486C6FB" w:rsidR="000D6F1A" w:rsidRPr="00426D3A" w:rsidRDefault="000D6F1A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834337">
              <w:rPr>
                <w:rFonts w:cs="Arial"/>
                <w:color w:val="000000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6B965DBE" w:rsidR="000D6F1A" w:rsidRPr="00426D3A" w:rsidRDefault="002C3031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0D6F1A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0D6F1A" w:rsidRPr="00426D3A" w:rsidRDefault="000D6F1A" w:rsidP="000D6F1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0D6F1A" w:rsidRPr="00426D3A" w:rsidRDefault="000D6F1A" w:rsidP="000D6F1A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0D6F1A" w:rsidRPr="00426D3A" w:rsidRDefault="000D6F1A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0D6F1A" w:rsidRPr="00426D3A" w:rsidRDefault="000D6F1A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1A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0D6F1A" w:rsidRPr="00426D3A" w:rsidRDefault="000D6F1A" w:rsidP="000D6F1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0D6F1A" w:rsidRPr="00426D3A" w:rsidRDefault="000D6F1A" w:rsidP="000D6F1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98E6DE2" w:rsidR="000D6F1A" w:rsidRPr="00426D3A" w:rsidRDefault="002C3031" w:rsidP="000D6F1A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0D6F1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0D6F1A" w:rsidRPr="00426D3A" w:rsidRDefault="000D6F1A" w:rsidP="000D6F1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0D6F1A" w:rsidRPr="00426D3A" w:rsidRDefault="000D6F1A" w:rsidP="000D6F1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80133D8" w:rsidR="000D6F1A" w:rsidRPr="00426D3A" w:rsidRDefault="002C3031" w:rsidP="000D6F1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6,62</w:t>
            </w:r>
          </w:p>
        </w:tc>
      </w:tr>
      <w:tr w:rsidR="000D6F1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0D6F1A" w:rsidRPr="00426D3A" w:rsidRDefault="000D6F1A" w:rsidP="000D6F1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0D6F1A" w:rsidRPr="00426D3A" w:rsidRDefault="000D6F1A" w:rsidP="000D6F1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15B04497" w:rsidR="000D6F1A" w:rsidRPr="00426D3A" w:rsidRDefault="002C3031" w:rsidP="000D6F1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38,15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ED30C6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2AB97398" w14:textId="2264487D" w:rsidR="002C3031" w:rsidRDefault="00ED30C6" w:rsidP="002C303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</w:t>
      </w:r>
    </w:p>
    <w:p w14:paraId="4FB2A3E1" w14:textId="27945E18" w:rsidR="009F6E07" w:rsidRPr="009202C3" w:rsidRDefault="002C3031" w:rsidP="002C3031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 xml:space="preserve"> </w:t>
      </w:r>
      <w:r w:rsidR="002F104D"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="002F104D"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578CA00C" w:rsidR="00786D40" w:rsidRPr="00E973B7" w:rsidRDefault="00ED30C6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2C303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F3DDB3D" w14:textId="4A8545C1" w:rsidR="002C3031" w:rsidRDefault="00ED30C6" w:rsidP="002C303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10" w:name="_GoBack"/>
      <w:bookmarkEnd w:id="10"/>
    </w:p>
    <w:p w14:paraId="58D2183C" w14:textId="131083F0" w:rsidR="00A9670B" w:rsidRDefault="002C3031" w:rsidP="002C3031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7A2EA" w14:textId="77777777" w:rsidR="0081070B" w:rsidRDefault="0081070B" w:rsidP="0043350F">
      <w:r>
        <w:separator/>
      </w:r>
    </w:p>
  </w:endnote>
  <w:endnote w:type="continuationSeparator" w:id="0">
    <w:p w14:paraId="2C46642B" w14:textId="77777777" w:rsidR="0081070B" w:rsidRDefault="0081070B" w:rsidP="0043350F">
      <w:r>
        <w:continuationSeparator/>
      </w:r>
    </w:p>
  </w:endnote>
  <w:endnote w:type="continuationNotice" w:id="1">
    <w:p w14:paraId="23C5F5C7" w14:textId="77777777" w:rsidR="0081070B" w:rsidRDefault="00810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9DA3C" w14:textId="77777777" w:rsidR="0081070B" w:rsidRDefault="0081070B" w:rsidP="0043350F">
      <w:r>
        <w:separator/>
      </w:r>
    </w:p>
  </w:footnote>
  <w:footnote w:type="continuationSeparator" w:id="0">
    <w:p w14:paraId="3D6409A2" w14:textId="77777777" w:rsidR="0081070B" w:rsidRDefault="0081070B" w:rsidP="0043350F">
      <w:r>
        <w:continuationSeparator/>
      </w:r>
    </w:p>
  </w:footnote>
  <w:footnote w:type="continuationNotice" w:id="1">
    <w:p w14:paraId="409F5CF2" w14:textId="77777777" w:rsidR="0081070B" w:rsidRDefault="0081070B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0D6F1A" w:rsidRPr="00A33E05" w:rsidRDefault="000D6F1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D6F1A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3031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D7931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070B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D30C6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471A6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9218AF-5C48-4973-BA43-9BCBB1FC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2333</Words>
  <Characters>1330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2021-01-04T15:20:00Z</dcterms:created>
  <dcterms:modified xsi:type="dcterms:W3CDTF">2021-01-04T15:20:00Z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