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200DE" w14:textId="3D7F5788" w:rsidR="009067CB" w:rsidRDefault="00AB2353" w:rsidP="009067CB">
      <w:pPr>
        <w:jc w:val="center"/>
        <w:rPr>
          <w:rFonts w:ascii="Times New Roman" w:eastAsia="Times New Roman" w:hAnsi="Times New Roman" w:cs="Times New Roman"/>
          <w:b/>
          <w:bCs/>
          <w:color w:val="333333"/>
          <w:sz w:val="23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3"/>
          <w:szCs w:val="24"/>
        </w:rPr>
        <w:t>TECHNINĖ</w:t>
      </w:r>
      <w:r w:rsidR="009067CB" w:rsidRPr="00631E1C">
        <w:rPr>
          <w:rFonts w:ascii="Times New Roman" w:eastAsia="Times New Roman" w:hAnsi="Times New Roman" w:cs="Times New Roman"/>
          <w:b/>
          <w:bCs/>
          <w:color w:val="333333"/>
          <w:sz w:val="23"/>
          <w:szCs w:val="24"/>
        </w:rPr>
        <w:t xml:space="preserve"> SPECIFIKACIJA</w:t>
      </w:r>
    </w:p>
    <w:p w14:paraId="575E43C3" w14:textId="77777777" w:rsidR="00524173" w:rsidRDefault="00524173" w:rsidP="00524173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3"/>
          <w:szCs w:val="23"/>
        </w:rPr>
      </w:pPr>
      <w:r w:rsidRPr="00631E1C">
        <w:rPr>
          <w:rFonts w:ascii="Times New Roman" w:eastAsia="Times New Roman" w:hAnsi="Times New Roman" w:cs="Times New Roman"/>
          <w:b/>
          <w:sz w:val="23"/>
          <w:szCs w:val="23"/>
        </w:rPr>
        <w:t>1 lentelė. Siūlomas vaistinis preparatas ir kaina</w:t>
      </w:r>
    </w:p>
    <w:p w14:paraId="565A6EFF" w14:textId="77777777" w:rsidR="00524173" w:rsidRDefault="00524173" w:rsidP="00524173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126E053A" w14:textId="77777777" w:rsidR="00524173" w:rsidRPr="00524173" w:rsidRDefault="00524173" w:rsidP="00524173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lt-LT" w:bidi="lt-LT"/>
        </w:rPr>
      </w:pPr>
      <w:r w:rsidRPr="00524173">
        <w:rPr>
          <w:rFonts w:ascii="Times New Roman" w:eastAsiaTheme="minorEastAsia" w:hAnsi="Times New Roman" w:cs="Times New Roman"/>
          <w:b/>
          <w:bCs/>
          <w:sz w:val="24"/>
          <w:szCs w:val="24"/>
          <w:lang w:eastAsia="lt-LT" w:bidi="lt-LT"/>
        </w:rPr>
        <w:t xml:space="preserve">PASTABOS.  </w:t>
      </w:r>
    </w:p>
    <w:p w14:paraId="21CB31E0" w14:textId="77777777" w:rsidR="00524173" w:rsidRPr="00F05623" w:rsidRDefault="00524173" w:rsidP="00524173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lt-LT" w:bidi="lt-LT"/>
        </w:rPr>
      </w:pPr>
      <w:r w:rsidRPr="00F05623">
        <w:rPr>
          <w:rFonts w:ascii="Times New Roman" w:eastAsiaTheme="minorEastAsia" w:hAnsi="Times New Roman" w:cs="Times New Roman"/>
          <w:sz w:val="20"/>
          <w:szCs w:val="20"/>
          <w:lang w:eastAsia="lt-LT" w:bidi="lt-LT"/>
        </w:rPr>
        <w:t>1. Pasiūlymai bus vertinami pagal mažiausią 1 paciento 26 savaičių gydymo kurso kainą, dozuojant (dozavimas pagal vaisto aprašą):</w:t>
      </w:r>
    </w:p>
    <w:p w14:paraId="0B4533DF" w14:textId="4B852BDD" w:rsidR="00524173" w:rsidRPr="00F05623" w:rsidRDefault="00524173" w:rsidP="00C6748B">
      <w:pPr>
        <w:spacing w:after="0" w:line="240" w:lineRule="auto"/>
        <w:ind w:firstLine="284"/>
        <w:rPr>
          <w:rFonts w:ascii="Times New Roman" w:eastAsiaTheme="minorEastAsia" w:hAnsi="Times New Roman" w:cs="Times New Roman"/>
          <w:sz w:val="20"/>
          <w:szCs w:val="20"/>
          <w:lang w:eastAsia="lt-LT" w:bidi="lt-LT"/>
        </w:rPr>
      </w:pPr>
      <w:r w:rsidRPr="00F05623">
        <w:rPr>
          <w:rFonts w:ascii="Times New Roman" w:eastAsiaTheme="minorEastAsia" w:hAnsi="Times New Roman" w:cs="Times New Roman"/>
          <w:sz w:val="20"/>
          <w:szCs w:val="20"/>
          <w:lang w:eastAsia="lt-LT" w:bidi="lt-LT"/>
        </w:rPr>
        <w:t xml:space="preserve">1.1. </w:t>
      </w:r>
      <w:proofErr w:type="spellStart"/>
      <w:r w:rsidRPr="00F05623">
        <w:rPr>
          <w:rFonts w:ascii="Times New Roman" w:eastAsiaTheme="minorEastAsia" w:hAnsi="Times New Roman" w:cs="Times New Roman"/>
          <w:b/>
          <w:bCs/>
          <w:i/>
          <w:iCs/>
          <w:sz w:val="20"/>
          <w:szCs w:val="20"/>
          <w:lang w:eastAsia="lt-LT" w:bidi="lt-LT"/>
        </w:rPr>
        <w:t>Cetuximab</w:t>
      </w:r>
      <w:proofErr w:type="spellEnd"/>
      <w:r w:rsidRPr="00F05623">
        <w:rPr>
          <w:rFonts w:ascii="Times New Roman" w:eastAsiaTheme="minorEastAsia" w:hAnsi="Times New Roman" w:cs="Times New Roman"/>
          <w:sz w:val="20"/>
          <w:szCs w:val="20"/>
          <w:lang w:eastAsia="lt-LT" w:bidi="lt-LT"/>
        </w:rPr>
        <w:t xml:space="preserve"> 26 sav. gydymo kursas (su įvadine doze) =</w:t>
      </w:r>
      <w:r w:rsidR="00507707" w:rsidRPr="00F05623">
        <w:rPr>
          <w:rFonts w:ascii="Times New Roman" w:eastAsiaTheme="minorEastAsia" w:hAnsi="Times New Roman" w:cs="Times New Roman"/>
          <w:sz w:val="20"/>
          <w:szCs w:val="20"/>
          <w:lang w:eastAsia="lt-LT" w:bidi="lt-LT"/>
        </w:rPr>
        <w:t>(</w:t>
      </w:r>
      <w:r w:rsidRPr="00F05623">
        <w:rPr>
          <w:rFonts w:ascii="Times New Roman" w:eastAsiaTheme="minorEastAsia" w:hAnsi="Times New Roman" w:cs="Times New Roman"/>
          <w:sz w:val="20"/>
          <w:szCs w:val="20"/>
          <w:lang w:eastAsia="lt-LT" w:bidi="lt-LT"/>
        </w:rPr>
        <w:t>400 mg /m</w:t>
      </w:r>
      <w:r w:rsidRPr="00F05623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lt-LT" w:bidi="lt-LT"/>
        </w:rPr>
        <w:t>2</w:t>
      </w:r>
      <w:r w:rsidRPr="00F05623">
        <w:rPr>
          <w:rFonts w:ascii="Times New Roman" w:eastAsiaTheme="minorEastAsia" w:hAnsi="Times New Roman" w:cs="Times New Roman"/>
          <w:sz w:val="20"/>
          <w:szCs w:val="20"/>
          <w:lang w:eastAsia="lt-LT" w:bidi="lt-LT"/>
        </w:rPr>
        <w:t>×1,8 m</w:t>
      </w:r>
      <w:r w:rsidRPr="00F05623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lt-LT" w:bidi="lt-LT"/>
        </w:rPr>
        <w:t>2</w:t>
      </w:r>
      <w:r w:rsidR="00507707" w:rsidRPr="00F05623">
        <w:rPr>
          <w:rFonts w:ascii="Times New Roman" w:eastAsiaTheme="minorEastAsia" w:hAnsi="Times New Roman" w:cs="Times New Roman"/>
          <w:sz w:val="20"/>
          <w:szCs w:val="20"/>
          <w:lang w:eastAsia="lt-LT" w:bidi="lt-LT"/>
        </w:rPr>
        <w:t>)</w:t>
      </w:r>
      <w:r w:rsidRPr="00F05623">
        <w:rPr>
          <w:rFonts w:ascii="Times New Roman" w:eastAsiaTheme="minorEastAsia" w:hAnsi="Times New Roman" w:cs="Times New Roman"/>
          <w:sz w:val="20"/>
          <w:szCs w:val="20"/>
          <w:lang w:eastAsia="lt-LT" w:bidi="lt-LT"/>
        </w:rPr>
        <w:t xml:space="preserve">+ </w:t>
      </w:r>
      <w:r w:rsidR="00507707" w:rsidRPr="00F05623">
        <w:rPr>
          <w:rFonts w:ascii="Times New Roman" w:eastAsiaTheme="minorEastAsia" w:hAnsi="Times New Roman" w:cs="Times New Roman"/>
          <w:sz w:val="20"/>
          <w:szCs w:val="20"/>
          <w:lang w:eastAsia="lt-LT" w:bidi="lt-LT"/>
        </w:rPr>
        <w:t>(</w:t>
      </w:r>
      <w:r w:rsidRPr="00F05623">
        <w:rPr>
          <w:rFonts w:ascii="Times New Roman" w:eastAsiaTheme="minorEastAsia" w:hAnsi="Times New Roman" w:cs="Times New Roman"/>
          <w:sz w:val="20"/>
          <w:szCs w:val="20"/>
          <w:lang w:eastAsia="lt-LT" w:bidi="lt-LT"/>
        </w:rPr>
        <w:t>25 sav.×250 mg/m</w:t>
      </w:r>
      <w:r w:rsidRPr="00F05623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lt-LT" w:bidi="lt-LT"/>
        </w:rPr>
        <w:t>2</w:t>
      </w:r>
      <w:r w:rsidRPr="00F05623">
        <w:rPr>
          <w:rFonts w:ascii="Times New Roman" w:eastAsiaTheme="minorEastAsia" w:hAnsi="Times New Roman" w:cs="Times New Roman"/>
          <w:sz w:val="20"/>
          <w:szCs w:val="20"/>
          <w:lang w:eastAsia="lt-LT" w:bidi="lt-LT"/>
        </w:rPr>
        <w:t>× 1.8 m</w:t>
      </w:r>
      <w:r w:rsidRPr="00F05623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lt-LT" w:bidi="lt-LT"/>
        </w:rPr>
        <w:t>2</w:t>
      </w:r>
      <w:r w:rsidR="00507707" w:rsidRPr="00F05623">
        <w:rPr>
          <w:rFonts w:ascii="Times New Roman" w:eastAsiaTheme="minorEastAsia" w:hAnsi="Times New Roman" w:cs="Times New Roman"/>
          <w:sz w:val="20"/>
          <w:szCs w:val="20"/>
          <w:lang w:eastAsia="lt-LT" w:bidi="lt-LT"/>
        </w:rPr>
        <w:t>)</w:t>
      </w:r>
      <w:r w:rsidRPr="00F05623">
        <w:rPr>
          <w:rFonts w:ascii="Times New Roman" w:eastAsiaTheme="minorEastAsia" w:hAnsi="Times New Roman" w:cs="Times New Roman"/>
          <w:sz w:val="20"/>
          <w:szCs w:val="20"/>
          <w:lang w:eastAsia="lt-LT" w:bidi="lt-LT"/>
        </w:rPr>
        <w:t>=</w:t>
      </w:r>
      <w:r w:rsidRPr="00F05623">
        <w:rPr>
          <w:rFonts w:ascii="Times New Roman" w:eastAsiaTheme="minorEastAsia" w:hAnsi="Times New Roman" w:cs="Times New Roman"/>
          <w:b/>
          <w:bCs/>
          <w:sz w:val="20"/>
          <w:szCs w:val="20"/>
          <w:lang w:eastAsia="lt-LT" w:bidi="lt-LT"/>
        </w:rPr>
        <w:t>11.970 mg</w:t>
      </w:r>
    </w:p>
    <w:p w14:paraId="78E3AF26" w14:textId="77777777" w:rsidR="00524173" w:rsidRPr="00F05623" w:rsidRDefault="00524173" w:rsidP="00C6748B">
      <w:pPr>
        <w:spacing w:after="0" w:line="240" w:lineRule="auto"/>
        <w:ind w:firstLine="284"/>
        <w:rPr>
          <w:rFonts w:ascii="Times New Roman" w:eastAsiaTheme="minorEastAsia" w:hAnsi="Times New Roman" w:cs="Times New Roman"/>
          <w:sz w:val="20"/>
          <w:szCs w:val="20"/>
          <w:lang w:eastAsia="lt-LT" w:bidi="lt-LT"/>
        </w:rPr>
      </w:pPr>
      <w:r w:rsidRPr="00F05623">
        <w:rPr>
          <w:rFonts w:ascii="Times New Roman" w:eastAsiaTheme="minorEastAsia" w:hAnsi="Times New Roman" w:cs="Times New Roman"/>
          <w:sz w:val="20"/>
          <w:szCs w:val="20"/>
          <w:lang w:eastAsia="lt-LT" w:bidi="lt-LT"/>
        </w:rPr>
        <w:t xml:space="preserve">1.2. </w:t>
      </w:r>
      <w:proofErr w:type="spellStart"/>
      <w:r w:rsidRPr="00F05623">
        <w:rPr>
          <w:rFonts w:ascii="Times New Roman" w:eastAsiaTheme="minorEastAsia" w:hAnsi="Times New Roman" w:cs="Times New Roman"/>
          <w:b/>
          <w:bCs/>
          <w:i/>
          <w:iCs/>
          <w:sz w:val="20"/>
          <w:szCs w:val="20"/>
          <w:lang w:eastAsia="lt-LT" w:bidi="lt-LT"/>
        </w:rPr>
        <w:t>Panitumumab</w:t>
      </w:r>
      <w:proofErr w:type="spellEnd"/>
      <w:r w:rsidRPr="00F05623">
        <w:rPr>
          <w:rFonts w:ascii="Times New Roman" w:eastAsiaTheme="minorEastAsia" w:hAnsi="Times New Roman" w:cs="Times New Roman"/>
          <w:sz w:val="20"/>
          <w:szCs w:val="20"/>
          <w:lang w:eastAsia="lt-LT" w:bidi="lt-LT"/>
        </w:rPr>
        <w:t xml:space="preserve"> 26 </w:t>
      </w:r>
      <w:proofErr w:type="spellStart"/>
      <w:r w:rsidRPr="00F05623">
        <w:rPr>
          <w:rFonts w:ascii="Times New Roman" w:eastAsiaTheme="minorEastAsia" w:hAnsi="Times New Roman" w:cs="Times New Roman"/>
          <w:sz w:val="20"/>
          <w:szCs w:val="20"/>
          <w:lang w:eastAsia="lt-LT" w:bidi="lt-LT"/>
        </w:rPr>
        <w:t>sav</w:t>
      </w:r>
      <w:proofErr w:type="spellEnd"/>
      <w:r w:rsidRPr="00F05623">
        <w:rPr>
          <w:rFonts w:ascii="Times New Roman" w:eastAsiaTheme="minorEastAsia" w:hAnsi="Times New Roman" w:cs="Times New Roman"/>
          <w:sz w:val="20"/>
          <w:szCs w:val="20"/>
          <w:lang w:eastAsia="lt-LT" w:bidi="lt-LT"/>
        </w:rPr>
        <w:t xml:space="preserve"> .gydymo kursas (įvadinės dozės nėra) =52/4 sav. ×6 mg/kg ×70 kg=</w:t>
      </w:r>
      <w:r w:rsidRPr="00F05623">
        <w:rPr>
          <w:rFonts w:ascii="Times New Roman" w:eastAsiaTheme="minorEastAsia" w:hAnsi="Times New Roman" w:cs="Times New Roman"/>
          <w:b/>
          <w:bCs/>
          <w:sz w:val="20"/>
          <w:szCs w:val="20"/>
          <w:lang w:eastAsia="lt-LT" w:bidi="lt-LT"/>
        </w:rPr>
        <w:t>5.460 mg</w:t>
      </w:r>
      <w:r w:rsidRPr="00F05623">
        <w:rPr>
          <w:rFonts w:ascii="Times New Roman" w:eastAsiaTheme="minorEastAsia" w:hAnsi="Times New Roman" w:cs="Times New Roman"/>
          <w:sz w:val="20"/>
          <w:szCs w:val="20"/>
          <w:lang w:eastAsia="lt-LT" w:bidi="lt-LT"/>
        </w:rPr>
        <w:tab/>
      </w:r>
    </w:p>
    <w:p w14:paraId="51C34D66" w14:textId="37AD818A" w:rsidR="00524173" w:rsidRPr="00F05623" w:rsidRDefault="00524173" w:rsidP="00524173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lt-LT" w:bidi="lt-LT"/>
        </w:rPr>
      </w:pPr>
      <w:r w:rsidRPr="00F05623">
        <w:rPr>
          <w:rFonts w:ascii="Times New Roman" w:eastAsiaTheme="minorEastAsia" w:hAnsi="Times New Roman" w:cs="Times New Roman"/>
          <w:sz w:val="20"/>
          <w:szCs w:val="20"/>
          <w:lang w:eastAsia="lt-LT" w:bidi="lt-LT"/>
        </w:rPr>
        <w:t>2. Bus perkamas tik vienas iš vaistų bendriniu pavadinimu, kurio 26 sav. gydymo kurso kaina Eur (be PVM) bus mažiausia.</w:t>
      </w:r>
    </w:p>
    <w:p w14:paraId="4C7D20FD" w14:textId="77777777" w:rsidR="00524173" w:rsidRPr="00524173" w:rsidRDefault="00524173" w:rsidP="0052417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lt-LT" w:bidi="lt-LT"/>
        </w:rPr>
      </w:pPr>
    </w:p>
    <w:p w14:paraId="77676911" w14:textId="77777777" w:rsidR="00524173" w:rsidRPr="00524173" w:rsidRDefault="00524173" w:rsidP="00524173">
      <w:pPr>
        <w:spacing w:after="200" w:line="276" w:lineRule="auto"/>
        <w:rPr>
          <w:rFonts w:eastAsiaTheme="minorEastAsia"/>
          <w:lang w:eastAsia="lt-LT" w:bidi="lt-LT"/>
        </w:rPr>
      </w:pPr>
    </w:p>
    <w:p w14:paraId="7CC82BF9" w14:textId="3EA197AC" w:rsidR="009067CB" w:rsidRDefault="009067CB" w:rsidP="009067CB">
      <w:pPr>
        <w:jc w:val="center"/>
        <w:rPr>
          <w:rFonts w:ascii="Times New Roman" w:eastAsia="Times New Roman" w:hAnsi="Times New Roman" w:cs="Times New Roman"/>
          <w:b/>
          <w:bCs/>
          <w:color w:val="333333"/>
          <w:sz w:val="23"/>
          <w:szCs w:val="24"/>
        </w:rPr>
      </w:pPr>
    </w:p>
    <w:tbl>
      <w:tblPr>
        <w:tblpPr w:leftFromText="180" w:rightFromText="180" w:vertAnchor="page" w:horzAnchor="margin" w:tblpXSpec="center" w:tblpY="3121"/>
        <w:tblW w:w="15411" w:type="dxa"/>
        <w:tblLayout w:type="fixed"/>
        <w:tblLook w:val="04A0" w:firstRow="1" w:lastRow="0" w:firstColumn="1" w:lastColumn="0" w:noHBand="0" w:noVBand="1"/>
      </w:tblPr>
      <w:tblGrid>
        <w:gridCol w:w="439"/>
        <w:gridCol w:w="727"/>
        <w:gridCol w:w="2236"/>
        <w:gridCol w:w="1915"/>
        <w:gridCol w:w="1632"/>
        <w:gridCol w:w="1629"/>
        <w:gridCol w:w="1493"/>
        <w:gridCol w:w="1483"/>
        <w:gridCol w:w="1931"/>
        <w:gridCol w:w="1926"/>
      </w:tblGrid>
      <w:tr w:rsidR="00524173" w:rsidRPr="00524173" w14:paraId="36CE1C81" w14:textId="77777777" w:rsidTr="008B348C">
        <w:trPr>
          <w:trHeight w:val="986"/>
        </w:trPr>
        <w:tc>
          <w:tcPr>
            <w:tcW w:w="11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BDC9A" w14:textId="2B3BFCC2" w:rsidR="00524173" w:rsidRPr="00524173" w:rsidRDefault="00524173" w:rsidP="00524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524173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Pirkimo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o</w:t>
            </w:r>
            <w:r w:rsidR="00607C02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jekto </w:t>
            </w:r>
            <w:r w:rsidRPr="00524173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dalies</w:t>
            </w:r>
            <w:r w:rsidRPr="00524173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br/>
              <w:t>Nr.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AD9DC" w14:textId="77777777" w:rsidR="00524173" w:rsidRPr="00524173" w:rsidRDefault="00524173" w:rsidP="00524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524173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Vaistinio preparato</w:t>
            </w:r>
            <w:r w:rsidRPr="00524173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br/>
              <w:t xml:space="preserve"> grupės pavadinimas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A590" w14:textId="77777777" w:rsidR="00524173" w:rsidRPr="00524173" w:rsidRDefault="00524173" w:rsidP="00524173">
            <w:pPr>
              <w:suppressAutoHyphens/>
              <w:autoSpaceDN w:val="0"/>
              <w:spacing w:after="0" w:line="240" w:lineRule="auto"/>
              <w:ind w:left="-122" w:right="-10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524173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Bendrinis vaistinio </w:t>
            </w:r>
            <w:r w:rsidRPr="00524173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br/>
              <w:t>preparato pavadinimas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5A94" w14:textId="77777777" w:rsidR="00524173" w:rsidRPr="00524173" w:rsidRDefault="00524173" w:rsidP="00524173">
            <w:pPr>
              <w:suppressAutoHyphens/>
              <w:autoSpaceDN w:val="0"/>
              <w:spacing w:after="0" w:line="240" w:lineRule="auto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524173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Firminis vaistinio </w:t>
            </w:r>
            <w:r w:rsidRPr="00524173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br/>
              <w:t>preparato pavadinimas, dozė, kiekis pakuotėje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FD4BB" w14:textId="77777777" w:rsidR="00524173" w:rsidRPr="00524173" w:rsidRDefault="00524173" w:rsidP="00524173">
            <w:pPr>
              <w:suppressAutoHyphens/>
              <w:autoSpaceDN w:val="0"/>
              <w:spacing w:after="0" w:line="240" w:lineRule="auto"/>
              <w:ind w:left="-107" w:right="-109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52417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Numatomas pirkti preliminarus kiekis, mg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0D23D" w14:textId="77777777" w:rsidR="00524173" w:rsidRPr="00524173" w:rsidRDefault="00524173" w:rsidP="00524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52417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1 mg kaina, Eur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E52DE" w14:textId="77777777" w:rsidR="00524173" w:rsidRPr="00524173" w:rsidRDefault="00524173" w:rsidP="00524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52417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1 flakono kaina, Eur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DC6EC" w14:textId="77777777" w:rsidR="00524173" w:rsidRPr="00524173" w:rsidRDefault="00524173" w:rsidP="00524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52417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1 paciento 26 sav. gydymo kaina, Eur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50F05" w14:textId="77777777" w:rsidR="00524173" w:rsidRPr="00524173" w:rsidRDefault="00524173" w:rsidP="00524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52417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Suma, Eur</w:t>
            </w:r>
          </w:p>
        </w:tc>
      </w:tr>
      <w:tr w:rsidR="00524173" w:rsidRPr="00524173" w14:paraId="25D92C0E" w14:textId="77777777" w:rsidTr="008B348C">
        <w:trPr>
          <w:trHeight w:val="70"/>
        </w:trPr>
        <w:tc>
          <w:tcPr>
            <w:tcW w:w="11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84F64" w14:textId="77777777" w:rsidR="00524173" w:rsidRPr="00524173" w:rsidRDefault="00524173" w:rsidP="0052417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A7097" w14:textId="77777777" w:rsidR="00524173" w:rsidRPr="00524173" w:rsidRDefault="00524173" w:rsidP="0052417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3E32B6" w14:textId="77777777" w:rsidR="00524173" w:rsidRPr="00524173" w:rsidRDefault="00524173" w:rsidP="0052417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2C5280" w14:textId="77777777" w:rsidR="00524173" w:rsidRPr="00524173" w:rsidRDefault="00524173" w:rsidP="0052417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5BEF0" w14:textId="77777777" w:rsidR="00524173" w:rsidRPr="00524173" w:rsidRDefault="00524173" w:rsidP="0052417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AA6C6" w14:textId="77777777" w:rsidR="00524173" w:rsidRPr="00524173" w:rsidRDefault="00524173" w:rsidP="00524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52417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be PVM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CCC81" w14:textId="77777777" w:rsidR="00524173" w:rsidRPr="00524173" w:rsidRDefault="00524173" w:rsidP="00524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52417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be PVM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E3640" w14:textId="77777777" w:rsidR="00524173" w:rsidRPr="00524173" w:rsidRDefault="00524173" w:rsidP="00524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52417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be PVM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3F05F" w14:textId="77777777" w:rsidR="00524173" w:rsidRPr="00524173" w:rsidRDefault="00524173" w:rsidP="00524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52417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be PVM</w:t>
            </w:r>
          </w:p>
        </w:tc>
      </w:tr>
      <w:tr w:rsidR="00524173" w:rsidRPr="00524173" w14:paraId="6194ECBE" w14:textId="77777777" w:rsidTr="008B348C">
        <w:trPr>
          <w:trHeight w:val="70"/>
        </w:trPr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BC9C3" w14:textId="77777777" w:rsidR="00524173" w:rsidRPr="00524173" w:rsidRDefault="00524173" w:rsidP="00524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524173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80BEB" w14:textId="77777777" w:rsidR="00524173" w:rsidRPr="00524173" w:rsidRDefault="00524173" w:rsidP="00524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524173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2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DF431" w14:textId="77777777" w:rsidR="00524173" w:rsidRPr="00524173" w:rsidRDefault="00524173" w:rsidP="00524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3"/>
                <w:szCs w:val="23"/>
              </w:rPr>
            </w:pPr>
            <w:r w:rsidRPr="00524173">
              <w:rPr>
                <w:rFonts w:ascii="Times New Roman" w:eastAsia="Times New Roman" w:hAnsi="Times New Roman" w:cs="Times New Roman"/>
                <w:b/>
                <w:iCs/>
                <w:sz w:val="23"/>
                <w:szCs w:val="23"/>
              </w:rPr>
              <w:t>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DA9A9" w14:textId="77777777" w:rsidR="00524173" w:rsidRPr="00524173" w:rsidRDefault="00524173" w:rsidP="00524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524173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28929" w14:textId="77777777" w:rsidR="00524173" w:rsidRPr="00524173" w:rsidRDefault="00524173" w:rsidP="00524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524173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4CFA5" w14:textId="77777777" w:rsidR="00524173" w:rsidRPr="00524173" w:rsidRDefault="00524173" w:rsidP="00524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524173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EE067" w14:textId="77777777" w:rsidR="00524173" w:rsidRPr="00524173" w:rsidRDefault="00524173" w:rsidP="00524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524173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7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3CC2D" w14:textId="77777777" w:rsidR="00524173" w:rsidRPr="00524173" w:rsidRDefault="00524173" w:rsidP="00524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524173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8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C9E61" w14:textId="77777777" w:rsidR="00524173" w:rsidRPr="00524173" w:rsidRDefault="00524173" w:rsidP="00524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524173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9</w:t>
            </w:r>
          </w:p>
        </w:tc>
      </w:tr>
      <w:tr w:rsidR="00524173" w:rsidRPr="00524173" w14:paraId="25D18D5A" w14:textId="77777777" w:rsidTr="008B348C">
        <w:trPr>
          <w:trHeight w:val="1005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B1861" w14:textId="77777777" w:rsidR="00524173" w:rsidRPr="00524173" w:rsidRDefault="00524173" w:rsidP="00524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52417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31588" w14:textId="77777777" w:rsidR="00524173" w:rsidRPr="00524173" w:rsidRDefault="00524173" w:rsidP="00524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52417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1.1.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DE982" w14:textId="77777777" w:rsidR="00524173" w:rsidRPr="00524173" w:rsidRDefault="00524173" w:rsidP="0052417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52417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Monokloniniai</w:t>
            </w:r>
            <w:proofErr w:type="spellEnd"/>
            <w:r w:rsidRPr="0052417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antikūnai </w:t>
            </w:r>
            <w:proofErr w:type="spellStart"/>
            <w:r w:rsidRPr="0052417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metastazavusiam</w:t>
            </w:r>
            <w:proofErr w:type="spellEnd"/>
            <w:r w:rsidRPr="0052417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gaubtinės arba tiesiosios žarnos vėžiui gydyti </w:t>
            </w:r>
            <w:r w:rsidRPr="00524173">
              <w:rPr>
                <w:rFonts w:ascii="Times New Roman" w:eastAsia="Times New Roman" w:hAnsi="Times New Roman" w:cs="Times New Roman"/>
                <w:b/>
                <w:i/>
                <w:color w:val="000000"/>
                <w:sz w:val="23"/>
                <w:szCs w:val="23"/>
                <w:u w:val="single"/>
              </w:rPr>
              <w:t>(naujiems pacientams</w:t>
            </w:r>
            <w:r w:rsidRPr="0052417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)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3F7AC" w14:textId="77777777" w:rsidR="00524173" w:rsidRPr="00524173" w:rsidRDefault="00524173" w:rsidP="00524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  <w:proofErr w:type="spellStart"/>
            <w:r w:rsidRPr="00524173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</w:rPr>
              <w:t>Cetuximab</w:t>
            </w:r>
            <w:proofErr w:type="spellEnd"/>
            <w:r w:rsidRPr="00524173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133FC" w14:textId="77777777" w:rsidR="00524173" w:rsidRPr="00524173" w:rsidRDefault="00524173" w:rsidP="0052417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24173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434B8" w14:textId="77777777" w:rsidR="00524173" w:rsidRPr="00524173" w:rsidRDefault="00524173" w:rsidP="00524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41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957.600 – 1.197.000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75F72" w14:textId="77777777" w:rsidR="00524173" w:rsidRPr="00524173" w:rsidRDefault="00524173" w:rsidP="00524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24173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  <w:p w14:paraId="76F561C4" w14:textId="77777777" w:rsidR="00524173" w:rsidRPr="00524173" w:rsidRDefault="00524173" w:rsidP="00524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24173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495BD" w14:textId="77777777" w:rsidR="00524173" w:rsidRPr="00524173" w:rsidRDefault="00524173" w:rsidP="00524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30E13F1D" w14:textId="77777777" w:rsidR="00524173" w:rsidRPr="00524173" w:rsidRDefault="00524173" w:rsidP="00524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F1201" w14:textId="77777777" w:rsidR="00524173" w:rsidRPr="00524173" w:rsidRDefault="00524173" w:rsidP="00524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  <w:p w14:paraId="2AA27B5E" w14:textId="77777777" w:rsidR="00524173" w:rsidRPr="00524173" w:rsidRDefault="00524173" w:rsidP="00524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3982B" w14:textId="77777777" w:rsidR="00524173" w:rsidRPr="00524173" w:rsidRDefault="00524173" w:rsidP="00524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524173" w:rsidRPr="00524173" w14:paraId="66205C96" w14:textId="77777777" w:rsidTr="008B348C">
        <w:trPr>
          <w:trHeight w:val="991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88677" w14:textId="77777777" w:rsidR="00524173" w:rsidRPr="00524173" w:rsidRDefault="00524173" w:rsidP="0052417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B7C16" w14:textId="77777777" w:rsidR="00524173" w:rsidRPr="00524173" w:rsidRDefault="00524173" w:rsidP="00524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52417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1.2.</w:t>
            </w:r>
          </w:p>
        </w:tc>
        <w:tc>
          <w:tcPr>
            <w:tcW w:w="22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457BE" w14:textId="77777777" w:rsidR="00524173" w:rsidRPr="00524173" w:rsidRDefault="00524173" w:rsidP="0052417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708AF" w14:textId="77777777" w:rsidR="00524173" w:rsidRPr="00524173" w:rsidRDefault="00524173" w:rsidP="00524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</w:pPr>
            <w:proofErr w:type="spellStart"/>
            <w:r w:rsidRPr="00524173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  <w:t>Panitumumab</w:t>
            </w:r>
            <w:proofErr w:type="spellEnd"/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51AA8" w14:textId="2C994495" w:rsidR="00524173" w:rsidRPr="00524173" w:rsidRDefault="00524173" w:rsidP="0052417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24173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  <w:r w:rsidR="002B6BB1" w:rsidRPr="001C595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 </w:t>
            </w:r>
            <w:r w:rsidR="002B6BB1" w:rsidRPr="007030F4">
              <w:rPr>
                <w:color w:val="000000"/>
                <w:sz w:val="23"/>
                <w:szCs w:val="23"/>
              </w:rPr>
              <w:t xml:space="preserve">  </w:t>
            </w:r>
            <w:r w:rsidR="002B6BB1">
              <w:t xml:space="preserve"> </w:t>
            </w:r>
            <w:proofErr w:type="spellStart"/>
            <w:r w:rsidR="002B6BB1">
              <w:t>Vectibix</w:t>
            </w:r>
            <w:proofErr w:type="spellEnd"/>
            <w:r w:rsidR="002B6BB1">
              <w:t xml:space="preserve"> </w:t>
            </w:r>
            <w:r w:rsidR="002B6BB1" w:rsidRPr="00BF57DC">
              <w:t xml:space="preserve">20mg/ml 5 ml </w:t>
            </w:r>
            <w:proofErr w:type="spellStart"/>
            <w:r w:rsidR="002B6BB1" w:rsidRPr="00BF57DC">
              <w:t>inj</w:t>
            </w:r>
            <w:proofErr w:type="spellEnd"/>
            <w:r w:rsidR="002B6BB1" w:rsidRPr="00BF57DC">
              <w:t xml:space="preserve"> N1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C8D40" w14:textId="77777777" w:rsidR="00524173" w:rsidRPr="00524173" w:rsidRDefault="00524173" w:rsidP="00524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41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436.800 – 546.000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DAE7B" w14:textId="77777777" w:rsidR="00203C17" w:rsidRDefault="00203C17" w:rsidP="00524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7AB3B181" w14:textId="7C1F32D2" w:rsidR="00524173" w:rsidRPr="00524173" w:rsidRDefault="00494E65" w:rsidP="00524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2,0</w:t>
            </w:r>
            <w:r w:rsidR="00203C17">
              <w:rPr>
                <w:rFonts w:ascii="Times New Roman" w:eastAsia="Times New Roman" w:hAnsi="Times New Roman" w:cs="Times New Roman"/>
                <w:sz w:val="23"/>
                <w:szCs w:val="23"/>
              </w:rPr>
              <w:t>7</w:t>
            </w:r>
            <w:r w:rsidR="00524173" w:rsidRPr="00524173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  <w:p w14:paraId="5AAD9939" w14:textId="77777777" w:rsidR="00524173" w:rsidRPr="00524173" w:rsidRDefault="00524173" w:rsidP="00524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24173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C072F" w14:textId="19EEE04A" w:rsidR="00524173" w:rsidRPr="00524173" w:rsidRDefault="00203C17" w:rsidP="00524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207,00</w:t>
            </w:r>
          </w:p>
          <w:p w14:paraId="240C69FF" w14:textId="77777777" w:rsidR="00524173" w:rsidRPr="00524173" w:rsidRDefault="00524173" w:rsidP="00524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B1FE6" w14:textId="1EE56220" w:rsidR="00524173" w:rsidRPr="00524173" w:rsidRDefault="00494E65" w:rsidP="00524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11</w:t>
            </w:r>
            <w:r w:rsidR="00203C1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302,20</w:t>
            </w:r>
          </w:p>
          <w:p w14:paraId="5C13803D" w14:textId="77777777" w:rsidR="00524173" w:rsidRPr="00524173" w:rsidRDefault="00524173" w:rsidP="00524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B7B26" w14:textId="3C47CFB5" w:rsidR="00524173" w:rsidRPr="00524173" w:rsidRDefault="00494E65" w:rsidP="00524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90</w:t>
            </w:r>
            <w:r w:rsidR="00203C1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4176,00 </w:t>
            </w:r>
            <w:r w:rsidR="00F0562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-11</w:t>
            </w:r>
            <w:r w:rsidR="00203C1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30220,00</w:t>
            </w:r>
          </w:p>
        </w:tc>
      </w:tr>
      <w:tr w:rsidR="00524173" w:rsidRPr="00524173" w14:paraId="6AA834AD" w14:textId="77777777" w:rsidTr="008B348C">
        <w:trPr>
          <w:trHeight w:val="70"/>
        </w:trPr>
        <w:tc>
          <w:tcPr>
            <w:tcW w:w="134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C308" w14:textId="77777777" w:rsidR="00524173" w:rsidRPr="00524173" w:rsidRDefault="00524173" w:rsidP="00524173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524173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Bendra suma (be PVM):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2C9E5" w14:textId="0216B5C4" w:rsidR="00524173" w:rsidRPr="00524173" w:rsidRDefault="00203C17" w:rsidP="0052417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904176,00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-1130220,00</w:t>
            </w:r>
          </w:p>
        </w:tc>
      </w:tr>
      <w:tr w:rsidR="00524173" w:rsidRPr="00524173" w14:paraId="5280D4C3" w14:textId="77777777" w:rsidTr="008B348C">
        <w:trPr>
          <w:trHeight w:val="270"/>
        </w:trPr>
        <w:tc>
          <w:tcPr>
            <w:tcW w:w="134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C390" w14:textId="77777777" w:rsidR="00524173" w:rsidRPr="00524173" w:rsidRDefault="00524173" w:rsidP="00524173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524173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Bendra suma (su PVM):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048AC" w14:textId="1EE2E923" w:rsidR="00524173" w:rsidRPr="00524173" w:rsidRDefault="00203C17" w:rsidP="0052417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949384,80 </w:t>
            </w:r>
            <w:r w:rsidR="00F0562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-118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6731,00</w:t>
            </w:r>
          </w:p>
        </w:tc>
      </w:tr>
    </w:tbl>
    <w:p w14:paraId="7DB5C2F7" w14:textId="77777777" w:rsidR="009067CB" w:rsidRPr="00631E1C" w:rsidRDefault="009067CB" w:rsidP="009067CB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</w:p>
    <w:p w14:paraId="41058820" w14:textId="0682F6B2" w:rsidR="009067CB" w:rsidRDefault="009067CB" w:rsidP="009067CB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631E1C">
        <w:rPr>
          <w:rFonts w:ascii="Times New Roman" w:eastAsia="Times New Roman" w:hAnsi="Times New Roman" w:cs="Times New Roman"/>
          <w:b/>
          <w:bCs/>
          <w:sz w:val="23"/>
          <w:szCs w:val="23"/>
        </w:rPr>
        <w:lastRenderedPageBreak/>
        <w:t>2 lentelė. Siūlomo vaistinio preparato atitiktis</w:t>
      </w:r>
    </w:p>
    <w:p w14:paraId="24049D37" w14:textId="60101474" w:rsidR="00524173" w:rsidRDefault="00524173" w:rsidP="009067CB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tbl>
      <w:tblPr>
        <w:tblStyle w:val="Lentelstinklelis2"/>
        <w:tblW w:w="14827" w:type="dxa"/>
        <w:jc w:val="center"/>
        <w:tblLayout w:type="fixed"/>
        <w:tblLook w:val="04A0" w:firstRow="1" w:lastRow="0" w:firstColumn="1" w:lastColumn="0" w:noHBand="0" w:noVBand="1"/>
      </w:tblPr>
      <w:tblGrid>
        <w:gridCol w:w="940"/>
        <w:gridCol w:w="6410"/>
        <w:gridCol w:w="4961"/>
        <w:gridCol w:w="2516"/>
      </w:tblGrid>
      <w:tr w:rsidR="00524173" w:rsidRPr="00524173" w14:paraId="58A290F9" w14:textId="77777777" w:rsidTr="008B348C">
        <w:trPr>
          <w:jc w:val="center"/>
        </w:trPr>
        <w:tc>
          <w:tcPr>
            <w:tcW w:w="940" w:type="dxa"/>
            <w:vAlign w:val="center"/>
          </w:tcPr>
          <w:p w14:paraId="7848C841" w14:textId="77777777" w:rsidR="00524173" w:rsidRPr="00524173" w:rsidRDefault="00524173" w:rsidP="005241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173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6410" w:type="dxa"/>
            <w:vAlign w:val="center"/>
          </w:tcPr>
          <w:p w14:paraId="1B376FDC" w14:textId="77777777" w:rsidR="00524173" w:rsidRPr="00524173" w:rsidRDefault="00524173" w:rsidP="005241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173">
              <w:rPr>
                <w:rFonts w:ascii="Times New Roman" w:hAnsi="Times New Roman" w:cs="Times New Roman"/>
                <w:b/>
              </w:rPr>
              <w:t>Reikalavimai</w:t>
            </w:r>
          </w:p>
        </w:tc>
        <w:tc>
          <w:tcPr>
            <w:tcW w:w="4961" w:type="dxa"/>
            <w:vAlign w:val="center"/>
          </w:tcPr>
          <w:p w14:paraId="38CB0358" w14:textId="77777777" w:rsidR="00524173" w:rsidRPr="00524173" w:rsidRDefault="00524173" w:rsidP="005241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173">
              <w:rPr>
                <w:rFonts w:ascii="Times New Roman" w:hAnsi="Times New Roman" w:cs="Times New Roman"/>
                <w:b/>
              </w:rPr>
              <w:t>Reikšmės/kriterijai</w:t>
            </w:r>
          </w:p>
        </w:tc>
        <w:tc>
          <w:tcPr>
            <w:tcW w:w="2516" w:type="dxa"/>
            <w:vAlign w:val="center"/>
          </w:tcPr>
          <w:p w14:paraId="5F4C1830" w14:textId="77777777" w:rsidR="00524173" w:rsidRPr="00524173" w:rsidRDefault="00524173" w:rsidP="005241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173">
              <w:rPr>
                <w:rFonts w:ascii="Times New Roman" w:hAnsi="Times New Roman" w:cs="Times New Roman"/>
                <w:b/>
              </w:rPr>
              <w:t>Siūlomos reikšmės</w:t>
            </w:r>
          </w:p>
          <w:p w14:paraId="0548E5BF" w14:textId="77777777" w:rsidR="00524173" w:rsidRPr="00524173" w:rsidRDefault="00524173" w:rsidP="00524173">
            <w:pPr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524173">
              <w:rPr>
                <w:rFonts w:ascii="Times New Roman" w:hAnsi="Times New Roman" w:cs="Times New Roman"/>
                <w:bCs/>
                <w:i/>
                <w:iCs/>
              </w:rPr>
              <w:t xml:space="preserve">(Pildo tiekėjas įrašydamas „Atitinka“ arba „Neatitinka“, arba atitinkamose skiltyse įrašo prašomą įrašyti reikšmę/kriterijų) </w:t>
            </w:r>
          </w:p>
        </w:tc>
      </w:tr>
      <w:tr w:rsidR="00524173" w:rsidRPr="00524173" w14:paraId="7FC6F119" w14:textId="77777777" w:rsidTr="008B348C">
        <w:trPr>
          <w:jc w:val="center"/>
        </w:trPr>
        <w:tc>
          <w:tcPr>
            <w:tcW w:w="940" w:type="dxa"/>
            <w:vAlign w:val="center"/>
          </w:tcPr>
          <w:p w14:paraId="6FA09053" w14:textId="77777777" w:rsidR="00524173" w:rsidRPr="00524173" w:rsidRDefault="00524173" w:rsidP="005241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17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410" w:type="dxa"/>
            <w:vAlign w:val="center"/>
          </w:tcPr>
          <w:p w14:paraId="7DCDA142" w14:textId="77777777" w:rsidR="00524173" w:rsidRPr="00524173" w:rsidRDefault="00524173" w:rsidP="005241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17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961" w:type="dxa"/>
            <w:vAlign w:val="center"/>
          </w:tcPr>
          <w:p w14:paraId="54B04A66" w14:textId="77777777" w:rsidR="00524173" w:rsidRPr="00524173" w:rsidRDefault="00524173" w:rsidP="005241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17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16" w:type="dxa"/>
            <w:vAlign w:val="center"/>
          </w:tcPr>
          <w:p w14:paraId="0A231AC7" w14:textId="77777777" w:rsidR="00524173" w:rsidRPr="00524173" w:rsidRDefault="00524173" w:rsidP="005241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173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524173" w:rsidRPr="00524173" w14:paraId="41545442" w14:textId="77777777" w:rsidTr="008B348C">
        <w:trPr>
          <w:jc w:val="center"/>
        </w:trPr>
        <w:tc>
          <w:tcPr>
            <w:tcW w:w="940" w:type="dxa"/>
            <w:vAlign w:val="center"/>
          </w:tcPr>
          <w:p w14:paraId="0E1C3DC0" w14:textId="77777777" w:rsidR="00524173" w:rsidRPr="00524173" w:rsidRDefault="00524173" w:rsidP="0052417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524173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6410" w:type="dxa"/>
            <w:vAlign w:val="center"/>
          </w:tcPr>
          <w:p w14:paraId="6C79B75A" w14:textId="77777777" w:rsidR="00524173" w:rsidRPr="00524173" w:rsidRDefault="00524173" w:rsidP="0052417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24173">
              <w:rPr>
                <w:rFonts w:ascii="Times New Roman" w:hAnsi="Times New Roman" w:cs="Times New Roman"/>
                <w:bCs/>
              </w:rPr>
              <w:t>Siūlomas vaistinis preparatas turi atitikti Centralizuotai apmokamų vaistinių preparatų ir medicinos pagalbos priemonių sąraše (toliau – Sąrašas), patvirtintame Sveikatos apsaugos ministro 2014-08-28 įsakymu Nr. V-910 „Dėl Centralizuotai apmokamų vaistinių preparatų ir medicinos pagalbos priemonių sąrašo patvirtinimo“, nurodytą bendrinį vaistinio preparato pavadinimą.</w:t>
            </w:r>
          </w:p>
        </w:tc>
        <w:tc>
          <w:tcPr>
            <w:tcW w:w="4961" w:type="dxa"/>
            <w:vAlign w:val="center"/>
          </w:tcPr>
          <w:p w14:paraId="147BF846" w14:textId="77777777" w:rsidR="00524173" w:rsidRPr="00524173" w:rsidRDefault="00524173" w:rsidP="00524173">
            <w:pPr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proofErr w:type="spellStart"/>
            <w:r w:rsidRPr="00524173">
              <w:rPr>
                <w:rFonts w:ascii="Times New Roman" w:hAnsi="Times New Roman" w:cs="Times New Roman"/>
                <w:bCs/>
                <w:i/>
                <w:iCs/>
              </w:rPr>
              <w:t>Cetuximab</w:t>
            </w:r>
            <w:proofErr w:type="spellEnd"/>
            <w:r w:rsidRPr="00524173">
              <w:rPr>
                <w:rFonts w:ascii="Times New Roman" w:hAnsi="Times New Roman" w:cs="Times New Roman"/>
                <w:bCs/>
                <w:i/>
                <w:iCs/>
              </w:rPr>
              <w:t xml:space="preserve"> ar </w:t>
            </w:r>
            <w:proofErr w:type="spellStart"/>
            <w:r w:rsidRPr="00524173">
              <w:rPr>
                <w:rFonts w:ascii="Times New Roman" w:hAnsi="Times New Roman" w:cs="Times New Roman"/>
                <w:bCs/>
                <w:i/>
                <w:iCs/>
              </w:rPr>
              <w:t>Panitumumab</w:t>
            </w:r>
            <w:proofErr w:type="spellEnd"/>
            <w:r w:rsidRPr="00524173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</w:p>
          <w:p w14:paraId="72F06394" w14:textId="77777777" w:rsidR="00524173" w:rsidRPr="00524173" w:rsidRDefault="00524173" w:rsidP="00524173">
            <w:pPr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524173">
              <w:rPr>
                <w:rFonts w:ascii="Times New Roman" w:hAnsi="Times New Roman" w:cs="Times New Roman"/>
                <w:bCs/>
                <w:i/>
                <w:iCs/>
              </w:rPr>
              <w:t>(tiekėjas pildo 4 stulpelį)</w:t>
            </w:r>
          </w:p>
        </w:tc>
        <w:tc>
          <w:tcPr>
            <w:tcW w:w="2516" w:type="dxa"/>
            <w:vAlign w:val="center"/>
          </w:tcPr>
          <w:p w14:paraId="0B290FEB" w14:textId="5A9E4506" w:rsidR="00524173" w:rsidRPr="00524173" w:rsidRDefault="002B6BB1" w:rsidP="002B6BB1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524173">
              <w:rPr>
                <w:rFonts w:ascii="Times New Roman" w:hAnsi="Times New Roman" w:cs="Times New Roman"/>
                <w:bCs/>
                <w:i/>
                <w:iCs/>
              </w:rPr>
              <w:t>Panitumumab</w:t>
            </w:r>
            <w:proofErr w:type="spellEnd"/>
          </w:p>
        </w:tc>
      </w:tr>
      <w:tr w:rsidR="00524173" w:rsidRPr="00524173" w14:paraId="65AB32F6" w14:textId="77777777" w:rsidTr="008B348C">
        <w:trPr>
          <w:trHeight w:val="629"/>
          <w:jc w:val="center"/>
        </w:trPr>
        <w:tc>
          <w:tcPr>
            <w:tcW w:w="940" w:type="dxa"/>
            <w:vAlign w:val="center"/>
          </w:tcPr>
          <w:p w14:paraId="5B31300E" w14:textId="77777777" w:rsidR="00524173" w:rsidRPr="00524173" w:rsidRDefault="00524173" w:rsidP="0052417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524173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6410" w:type="dxa"/>
            <w:vAlign w:val="center"/>
          </w:tcPr>
          <w:p w14:paraId="090D7F40" w14:textId="1EBE2D5B" w:rsidR="00524173" w:rsidRPr="00524173" w:rsidRDefault="00B651E2" w:rsidP="00524173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Siūlomas v</w:t>
            </w:r>
            <w:r w:rsidR="00524173" w:rsidRPr="00524173">
              <w:rPr>
                <w:rFonts w:ascii="Times New Roman" w:eastAsia="Times New Roman" w:hAnsi="Times New Roman" w:cs="Times New Roman"/>
              </w:rPr>
              <w:t xml:space="preserve">aistinis preparatas turi būti registruotas </w:t>
            </w:r>
            <w:r>
              <w:rPr>
                <w:rFonts w:ascii="Times New Roman" w:eastAsia="Times New Roman" w:hAnsi="Times New Roman" w:cs="Times New Roman"/>
              </w:rPr>
              <w:t>Valstybinėje vaistų kontrolės tarnyboje prie Lietuvos Respublikos sveikatos apsaugos ministerijos</w:t>
            </w:r>
            <w:r w:rsidR="002A3F62">
              <w:rPr>
                <w:rFonts w:ascii="Times New Roman" w:eastAsia="Times New Roman" w:hAnsi="Times New Roman" w:cs="Times New Roman"/>
              </w:rPr>
              <w:t xml:space="preserve"> (toliau – VVKT)</w:t>
            </w:r>
            <w:r w:rsidR="00524173" w:rsidRPr="00524173">
              <w:rPr>
                <w:rFonts w:ascii="Times New Roman" w:eastAsia="Times New Roman" w:hAnsi="Times New Roman" w:cs="Times New Roman"/>
              </w:rPr>
              <w:t xml:space="preserve"> arba Bendrijos vaistinių preparatų registre</w:t>
            </w:r>
            <w:r w:rsidR="002A3F62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524173" w:rsidRPr="00524173">
              <w:rPr>
                <w:rFonts w:ascii="Times New Roman" w:eastAsia="Times New Roman" w:hAnsi="Times New Roman" w:cs="Times New Roman"/>
              </w:rPr>
              <w:t xml:space="preserve">arba </w:t>
            </w:r>
            <w:r>
              <w:rPr>
                <w:rFonts w:ascii="Times New Roman" w:eastAsia="Times New Roman" w:hAnsi="Times New Roman" w:cs="Times New Roman"/>
              </w:rPr>
              <w:t>Europos ekonominės erdvės (EEE) valstybėje</w:t>
            </w:r>
            <w:r w:rsidR="00524173" w:rsidRPr="00524173">
              <w:rPr>
                <w:rFonts w:ascii="Times New Roman" w:eastAsia="Times New Roman" w:hAnsi="Times New Roman" w:cs="Times New Roman"/>
              </w:rPr>
              <w:t>.</w:t>
            </w:r>
            <w:r w:rsidR="00524173" w:rsidRPr="00524173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65D77EE2" w14:textId="77777777" w:rsidR="00524173" w:rsidRPr="00524173" w:rsidRDefault="00524173" w:rsidP="00524173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172B8CA1" w14:textId="10BF7206" w:rsidR="00524173" w:rsidRPr="00524173" w:rsidRDefault="00524173" w:rsidP="00524173">
            <w:pPr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524173">
              <w:rPr>
                <w:rFonts w:ascii="Times New Roman" w:hAnsi="Times New Roman" w:cs="Times New Roman"/>
                <w:bCs/>
                <w:u w:val="single"/>
              </w:rPr>
              <w:t>Pastaba</w:t>
            </w:r>
            <w:r w:rsidRPr="00524173">
              <w:rPr>
                <w:rFonts w:ascii="Times New Roman" w:hAnsi="Times New Roman" w:cs="Times New Roman"/>
                <w:bCs/>
              </w:rPr>
              <w:t>.</w:t>
            </w:r>
            <w:r w:rsidRPr="00524173">
              <w:rPr>
                <w:rFonts w:ascii="Times New Roman" w:hAnsi="Times New Roman" w:cs="Times New Roman"/>
                <w:bCs/>
                <w:i/>
                <w:iCs/>
              </w:rPr>
              <w:t xml:space="preserve"> VLK vaistinio preparato registracijos atitikties vertinimą atlieka Pirkimo specialiųjų sąlygų (SS) 8.2 punkte nustatyta tvarka</w:t>
            </w:r>
          </w:p>
          <w:p w14:paraId="7CBEBEDF" w14:textId="77777777" w:rsidR="00524173" w:rsidRPr="00524173" w:rsidRDefault="00524173" w:rsidP="00524173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  <w:vAlign w:val="center"/>
          </w:tcPr>
          <w:p w14:paraId="3CAD6EAB" w14:textId="48C8AA63" w:rsidR="00524173" w:rsidRPr="00524173" w:rsidRDefault="00524173" w:rsidP="0052417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24173">
              <w:rPr>
                <w:rFonts w:ascii="Times New Roman" w:hAnsi="Times New Roman" w:cs="Times New Roman"/>
                <w:bCs/>
              </w:rPr>
              <w:t>Siūlomo vaistinio preparato registracij</w:t>
            </w:r>
            <w:r w:rsidR="00B651E2">
              <w:rPr>
                <w:rFonts w:ascii="Times New Roman" w:hAnsi="Times New Roman" w:cs="Times New Roman"/>
                <w:bCs/>
              </w:rPr>
              <w:t>ą patvirtina</w:t>
            </w:r>
            <w:r w:rsidRPr="00524173">
              <w:rPr>
                <w:rFonts w:ascii="Times New Roman" w:hAnsi="Times New Roman" w:cs="Times New Roman"/>
                <w:bCs/>
              </w:rPr>
              <w:t>:</w:t>
            </w:r>
          </w:p>
          <w:p w14:paraId="647B611F" w14:textId="49E944B9" w:rsidR="00524173" w:rsidRPr="00524173" w:rsidRDefault="00524173" w:rsidP="0052417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24173">
              <w:rPr>
                <w:rFonts w:ascii="Times New Roman" w:hAnsi="Times New Roman" w:cs="Times New Roman"/>
                <w:bCs/>
              </w:rPr>
              <w:t xml:space="preserve">1) </w:t>
            </w:r>
            <w:r w:rsidR="00B651E2">
              <w:rPr>
                <w:rFonts w:ascii="Times New Roman" w:hAnsi="Times New Roman" w:cs="Times New Roman"/>
                <w:bCs/>
              </w:rPr>
              <w:t xml:space="preserve">VVKT </w:t>
            </w:r>
            <w:r w:rsidRPr="00524173">
              <w:rPr>
                <w:rFonts w:ascii="Times New Roman" w:hAnsi="Times New Roman" w:cs="Times New Roman"/>
                <w:bCs/>
              </w:rPr>
              <w:t>registr</w:t>
            </w:r>
            <w:r w:rsidR="00B651E2">
              <w:rPr>
                <w:rFonts w:ascii="Times New Roman" w:hAnsi="Times New Roman" w:cs="Times New Roman"/>
                <w:bCs/>
              </w:rPr>
              <w:t>acijos</w:t>
            </w:r>
            <w:r w:rsidRPr="00524173">
              <w:rPr>
                <w:rFonts w:ascii="Times New Roman" w:hAnsi="Times New Roman" w:cs="Times New Roman"/>
                <w:bCs/>
              </w:rPr>
              <w:t xml:space="preserve"> Nr. ir (ar)</w:t>
            </w:r>
            <w:r w:rsidR="00B651E2">
              <w:rPr>
                <w:rFonts w:ascii="Times New Roman" w:hAnsi="Times New Roman" w:cs="Times New Roman"/>
                <w:bCs/>
              </w:rPr>
              <w:t xml:space="preserve"> Bendrijos vaistinių preparatų registro Nr. ir (ar)</w:t>
            </w:r>
            <w:r w:rsidRPr="00524173">
              <w:rPr>
                <w:rFonts w:ascii="Times New Roman" w:hAnsi="Times New Roman" w:cs="Times New Roman"/>
                <w:bCs/>
              </w:rPr>
              <w:t xml:space="preserve"> nuoroda, </w:t>
            </w:r>
          </w:p>
          <w:p w14:paraId="6C49DBA5" w14:textId="77777777" w:rsidR="00524173" w:rsidRPr="00524173" w:rsidRDefault="00524173" w:rsidP="0052417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24173">
              <w:rPr>
                <w:rFonts w:ascii="Times New Roman" w:hAnsi="Times New Roman" w:cs="Times New Roman"/>
                <w:bCs/>
              </w:rPr>
              <w:t>arba</w:t>
            </w:r>
          </w:p>
          <w:p w14:paraId="687C2CAB" w14:textId="27AA436C" w:rsidR="00524173" w:rsidRPr="00524173" w:rsidRDefault="00524173" w:rsidP="0052417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24173">
              <w:rPr>
                <w:rFonts w:ascii="Times New Roman" w:hAnsi="Times New Roman" w:cs="Times New Roman"/>
                <w:bCs/>
              </w:rPr>
              <w:t xml:space="preserve">2) </w:t>
            </w:r>
            <w:r w:rsidR="00B651E2" w:rsidRPr="00B651E2">
              <w:rPr>
                <w:rFonts w:ascii="Times New Roman" w:hAnsi="Times New Roman" w:cs="Times New Roman"/>
                <w:bCs/>
              </w:rPr>
              <w:t>Europos ekonominės erdvės (EEE)</w:t>
            </w:r>
            <w:r w:rsidR="00B651E2">
              <w:rPr>
                <w:rFonts w:ascii="Times New Roman" w:hAnsi="Times New Roman" w:cs="Times New Roman"/>
                <w:bCs/>
              </w:rPr>
              <w:t xml:space="preserve"> valstybės</w:t>
            </w:r>
            <w:r w:rsidRPr="00524173">
              <w:rPr>
                <w:rFonts w:ascii="Times New Roman" w:hAnsi="Times New Roman" w:cs="Times New Roman"/>
                <w:bCs/>
              </w:rPr>
              <w:t xml:space="preserve"> registracijos Nr. ir (ar) nuoroda,</w:t>
            </w:r>
            <w:r w:rsidR="00B651E2">
              <w:rPr>
                <w:rFonts w:ascii="Times New Roman" w:hAnsi="Times New Roman" w:cs="Times New Roman"/>
                <w:bCs/>
              </w:rPr>
              <w:t xml:space="preserve"> ir (ar) kt.</w:t>
            </w:r>
          </w:p>
          <w:p w14:paraId="3BABE523" w14:textId="77777777" w:rsidR="00B651E2" w:rsidRDefault="00B651E2" w:rsidP="00524173">
            <w:pPr>
              <w:rPr>
                <w:rFonts w:ascii="Times New Roman" w:hAnsi="Times New Roman" w:cs="Times New Roman"/>
                <w:bCs/>
                <w:i/>
                <w:iCs/>
              </w:rPr>
            </w:pPr>
          </w:p>
          <w:p w14:paraId="083DEE51" w14:textId="0D4323B5" w:rsidR="00524173" w:rsidRPr="00524173" w:rsidRDefault="00524173" w:rsidP="002A3F62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524173">
              <w:rPr>
                <w:rFonts w:ascii="Times New Roman" w:hAnsi="Times New Roman" w:cs="Times New Roman"/>
                <w:bCs/>
                <w:i/>
                <w:iCs/>
              </w:rPr>
              <w:t>(tiekėjas pildo 4 stulpelį</w:t>
            </w:r>
            <w:r w:rsidR="002A3F62">
              <w:rPr>
                <w:rFonts w:ascii="Times New Roman" w:hAnsi="Times New Roman" w:cs="Times New Roman"/>
                <w:bCs/>
                <w:i/>
                <w:iCs/>
              </w:rPr>
              <w:t xml:space="preserve"> ir </w:t>
            </w:r>
            <w:r w:rsidR="00B651E2" w:rsidRPr="00B651E2">
              <w:rPr>
                <w:rFonts w:ascii="Times New Roman" w:hAnsi="Times New Roman" w:cs="Times New Roman"/>
                <w:bCs/>
                <w:i/>
                <w:iCs/>
              </w:rPr>
              <w:t>nurodo kokioje šalyje</w:t>
            </w:r>
            <w:r w:rsidR="00B651E2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r w:rsidR="00B651E2" w:rsidRPr="00B651E2">
              <w:rPr>
                <w:rFonts w:ascii="Times New Roman" w:hAnsi="Times New Roman" w:cs="Times New Roman"/>
                <w:bCs/>
                <w:i/>
                <w:iCs/>
              </w:rPr>
              <w:t>vaistinis preparatas</w:t>
            </w:r>
            <w:r w:rsidR="00B651E2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r w:rsidR="002A3F62">
              <w:rPr>
                <w:rFonts w:ascii="Times New Roman" w:hAnsi="Times New Roman" w:cs="Times New Roman"/>
                <w:bCs/>
                <w:i/>
                <w:iCs/>
              </w:rPr>
              <w:t xml:space="preserve">yra </w:t>
            </w:r>
            <w:r w:rsidR="00B651E2">
              <w:rPr>
                <w:rFonts w:ascii="Times New Roman" w:hAnsi="Times New Roman" w:cs="Times New Roman"/>
                <w:bCs/>
                <w:i/>
                <w:iCs/>
              </w:rPr>
              <w:t>registruotas</w:t>
            </w:r>
            <w:r w:rsidR="002A3F62">
              <w:rPr>
                <w:rFonts w:ascii="Times New Roman" w:hAnsi="Times New Roman" w:cs="Times New Roman"/>
                <w:bCs/>
                <w:i/>
                <w:iCs/>
              </w:rPr>
              <w:t>, jo Nr.ir (ar) nurodą</w:t>
            </w:r>
            <w:r w:rsidRPr="00524173">
              <w:rPr>
                <w:rFonts w:ascii="Times New Roman" w:hAnsi="Times New Roman" w:cs="Times New Roman"/>
                <w:bCs/>
                <w:i/>
                <w:iCs/>
              </w:rPr>
              <w:t>)</w:t>
            </w:r>
          </w:p>
        </w:tc>
        <w:tc>
          <w:tcPr>
            <w:tcW w:w="2516" w:type="dxa"/>
            <w:vAlign w:val="center"/>
          </w:tcPr>
          <w:p w14:paraId="4AEC48A1" w14:textId="684C6B5F" w:rsidR="00524173" w:rsidRPr="00524173" w:rsidRDefault="002B6BB1" w:rsidP="005241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t xml:space="preserve">Registruotojas: </w:t>
            </w:r>
            <w:proofErr w:type="spellStart"/>
            <w:r>
              <w:t>Amgen</w:t>
            </w:r>
            <w:proofErr w:type="spellEnd"/>
            <w:r>
              <w:t xml:space="preserve"> </w:t>
            </w:r>
            <w:proofErr w:type="spellStart"/>
            <w:r>
              <w:t>Europe</w:t>
            </w:r>
            <w:proofErr w:type="spellEnd"/>
            <w:r>
              <w:t xml:space="preserve"> B.V., Nyderlandai EU/1/07/423/001</w:t>
            </w:r>
          </w:p>
        </w:tc>
      </w:tr>
      <w:tr w:rsidR="00524173" w:rsidRPr="00524173" w14:paraId="2A5C94F1" w14:textId="77777777" w:rsidTr="008B348C">
        <w:trPr>
          <w:trHeight w:val="1322"/>
          <w:jc w:val="center"/>
        </w:trPr>
        <w:tc>
          <w:tcPr>
            <w:tcW w:w="940" w:type="dxa"/>
            <w:vAlign w:val="center"/>
          </w:tcPr>
          <w:p w14:paraId="73CEE579" w14:textId="77777777" w:rsidR="00524173" w:rsidRPr="00524173" w:rsidRDefault="00524173" w:rsidP="0052417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524173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6410" w:type="dxa"/>
            <w:vAlign w:val="center"/>
          </w:tcPr>
          <w:p w14:paraId="6346588D" w14:textId="6E3B7DC0" w:rsidR="00524173" w:rsidRPr="00524173" w:rsidRDefault="00524173" w:rsidP="00524173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524173">
              <w:rPr>
                <w:rFonts w:ascii="Times New Roman" w:hAnsi="Times New Roman" w:cs="Times New Roman"/>
                <w:bCs/>
              </w:rPr>
              <w:t xml:space="preserve">Siūlomas vaistinis preparatas turi būti skiriamas </w:t>
            </w:r>
            <w:r w:rsidRPr="00FE0161">
              <w:rPr>
                <w:rFonts w:ascii="Times New Roman" w:hAnsi="Times New Roman" w:cs="Times New Roman"/>
                <w:bCs/>
              </w:rPr>
              <w:t xml:space="preserve">Sąrašo 1.14 </w:t>
            </w:r>
            <w:r w:rsidR="003A6F7C" w:rsidRPr="00524173">
              <w:rPr>
                <w:rFonts w:ascii="Times New Roman" w:hAnsi="Times New Roman" w:cs="Times New Roman"/>
                <w:bCs/>
              </w:rPr>
              <w:t>eilutė</w:t>
            </w:r>
            <w:r w:rsidR="003A6F7C">
              <w:rPr>
                <w:rFonts w:ascii="Times New Roman" w:hAnsi="Times New Roman" w:cs="Times New Roman"/>
                <w:bCs/>
              </w:rPr>
              <w:t>j</w:t>
            </w:r>
            <w:r w:rsidR="003A6F7C" w:rsidRPr="00524173">
              <w:rPr>
                <w:rFonts w:ascii="Times New Roman" w:hAnsi="Times New Roman" w:cs="Times New Roman"/>
                <w:bCs/>
              </w:rPr>
              <w:t xml:space="preserve">e </w:t>
            </w:r>
            <w:r w:rsidRPr="00524173">
              <w:rPr>
                <w:rFonts w:ascii="Times New Roman" w:hAnsi="Times New Roman" w:cs="Times New Roman"/>
                <w:bCs/>
              </w:rPr>
              <w:t>nurodytoms ligoms gydyti (nurodyta vaistinio preparato charakteristikų santraukoje).</w:t>
            </w:r>
          </w:p>
        </w:tc>
        <w:tc>
          <w:tcPr>
            <w:tcW w:w="4961" w:type="dxa"/>
            <w:vAlign w:val="center"/>
          </w:tcPr>
          <w:p w14:paraId="1CC01455" w14:textId="77777777" w:rsidR="00524173" w:rsidRPr="00524173" w:rsidRDefault="00524173" w:rsidP="0052417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24173">
              <w:rPr>
                <w:rFonts w:ascii="Times New Roman" w:hAnsi="Times New Roman" w:cs="Times New Roman"/>
                <w:color w:val="000000" w:themeColor="text1"/>
                <w:u w:val="single"/>
              </w:rPr>
              <w:t>Skiriamas</w:t>
            </w:r>
            <w:r w:rsidRPr="0052417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24173">
              <w:rPr>
                <w:rFonts w:ascii="Times New Roman" w:hAnsi="Times New Roman" w:cs="Times New Roman"/>
                <w:color w:val="000000" w:themeColor="text1"/>
              </w:rPr>
              <w:t>metastazavusiam</w:t>
            </w:r>
            <w:proofErr w:type="spellEnd"/>
            <w:r w:rsidRPr="00524173">
              <w:rPr>
                <w:rFonts w:ascii="Times New Roman" w:hAnsi="Times New Roman" w:cs="Times New Roman"/>
                <w:color w:val="000000" w:themeColor="text1"/>
              </w:rPr>
              <w:t xml:space="preserve"> gaubtinės arba tiesiosios žarnos vėžiui gydyti (C18.0, C18.2–C20, C77–C79). </w:t>
            </w:r>
          </w:p>
          <w:p w14:paraId="0FD8C511" w14:textId="77777777" w:rsidR="00524173" w:rsidRPr="00524173" w:rsidRDefault="00524173" w:rsidP="0052417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2417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(</w:t>
            </w:r>
            <w:r w:rsidRPr="00524173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tiekėjas</w:t>
            </w:r>
            <w:r w:rsidRPr="0052417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pildo 4 stulpelį)</w:t>
            </w:r>
          </w:p>
        </w:tc>
        <w:tc>
          <w:tcPr>
            <w:tcW w:w="2516" w:type="dxa"/>
            <w:vAlign w:val="center"/>
          </w:tcPr>
          <w:p w14:paraId="0A0CDBE5" w14:textId="29F970DC" w:rsidR="00524173" w:rsidRPr="00524173" w:rsidRDefault="00203C17" w:rsidP="005241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Atitinka</w:t>
            </w:r>
          </w:p>
        </w:tc>
      </w:tr>
      <w:tr w:rsidR="00524173" w:rsidRPr="00524173" w14:paraId="2F102692" w14:textId="77777777" w:rsidTr="008B348C">
        <w:trPr>
          <w:trHeight w:val="4761"/>
          <w:jc w:val="center"/>
        </w:trPr>
        <w:tc>
          <w:tcPr>
            <w:tcW w:w="940" w:type="dxa"/>
            <w:vAlign w:val="center"/>
          </w:tcPr>
          <w:p w14:paraId="3CCAB698" w14:textId="77777777" w:rsidR="00524173" w:rsidRPr="00524173" w:rsidRDefault="00524173" w:rsidP="0052417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524173">
              <w:rPr>
                <w:rFonts w:ascii="Times New Roman" w:hAnsi="Times New Roman" w:cs="Times New Roman"/>
                <w:bCs/>
              </w:rPr>
              <w:lastRenderedPageBreak/>
              <w:t>4.</w:t>
            </w:r>
          </w:p>
        </w:tc>
        <w:tc>
          <w:tcPr>
            <w:tcW w:w="6410" w:type="dxa"/>
            <w:vAlign w:val="center"/>
          </w:tcPr>
          <w:p w14:paraId="47CBC547" w14:textId="2B46A0F3" w:rsidR="00524173" w:rsidRPr="00524173" w:rsidRDefault="00524173" w:rsidP="0052417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24173">
              <w:rPr>
                <w:rFonts w:ascii="Times New Roman" w:hAnsi="Times New Roman" w:cs="Times New Roman"/>
                <w:bCs/>
              </w:rPr>
              <w:t xml:space="preserve">Siūlomas vaistinis preparatas turi atitikto Sąrašo </w:t>
            </w:r>
            <w:r w:rsidRPr="00FE0161">
              <w:rPr>
                <w:rFonts w:ascii="Times New Roman" w:eastAsia="Calibri" w:hAnsi="Times New Roman" w:cs="Times New Roman"/>
                <w:color w:val="000000"/>
              </w:rPr>
              <w:t xml:space="preserve">1.14 </w:t>
            </w:r>
            <w:r w:rsidR="003A6F7C" w:rsidRPr="005E2505">
              <w:rPr>
                <w:rFonts w:ascii="Times New Roman" w:eastAsia="Calibri" w:hAnsi="Times New Roman" w:cs="Times New Roman"/>
                <w:color w:val="000000"/>
              </w:rPr>
              <w:t>eilutė</w:t>
            </w:r>
            <w:r w:rsidR="003A6F7C">
              <w:rPr>
                <w:rFonts w:ascii="Times New Roman" w:eastAsia="Calibri" w:hAnsi="Times New Roman" w:cs="Times New Roman"/>
                <w:color w:val="000000"/>
              </w:rPr>
              <w:t>j</w:t>
            </w:r>
            <w:r w:rsidR="003A6F7C" w:rsidRPr="005E2505">
              <w:rPr>
                <w:rFonts w:ascii="Times New Roman" w:eastAsia="Calibri" w:hAnsi="Times New Roman" w:cs="Times New Roman"/>
                <w:color w:val="000000"/>
              </w:rPr>
              <w:t xml:space="preserve">e </w:t>
            </w:r>
            <w:r w:rsidRPr="00524173">
              <w:rPr>
                <w:rFonts w:ascii="Times New Roman" w:hAnsi="Times New Roman" w:cs="Times New Roman"/>
                <w:bCs/>
              </w:rPr>
              <w:t>nurodytas vaistinio preparato skyrimo sąlygas (nurodyta vaistinio preparato charakteristikų santraukoje).</w:t>
            </w:r>
          </w:p>
        </w:tc>
        <w:tc>
          <w:tcPr>
            <w:tcW w:w="4961" w:type="dxa"/>
            <w:vAlign w:val="center"/>
          </w:tcPr>
          <w:p w14:paraId="6F5C0962" w14:textId="77777777" w:rsidR="00524173" w:rsidRPr="00524173" w:rsidRDefault="00524173" w:rsidP="0052417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24173">
              <w:rPr>
                <w:rFonts w:ascii="Times New Roman" w:hAnsi="Times New Roman" w:cs="Times New Roman"/>
                <w:color w:val="000000" w:themeColor="text1"/>
                <w:u w:val="single"/>
              </w:rPr>
              <w:t>Skiriamas</w:t>
            </w:r>
            <w:r w:rsidRPr="00524173">
              <w:rPr>
                <w:rFonts w:ascii="Times New Roman" w:hAnsi="Times New Roman" w:cs="Times New Roman"/>
                <w:color w:val="000000" w:themeColor="text1"/>
              </w:rPr>
              <w:t xml:space="preserve"> pirmaeiliam </w:t>
            </w:r>
            <w:proofErr w:type="spellStart"/>
            <w:r w:rsidRPr="00524173">
              <w:rPr>
                <w:rFonts w:ascii="Times New Roman" w:hAnsi="Times New Roman" w:cs="Times New Roman"/>
                <w:color w:val="000000" w:themeColor="text1"/>
              </w:rPr>
              <w:t>metastazavusiam</w:t>
            </w:r>
            <w:proofErr w:type="spellEnd"/>
            <w:r w:rsidRPr="00524173">
              <w:rPr>
                <w:rFonts w:ascii="Times New Roman" w:hAnsi="Times New Roman" w:cs="Times New Roman"/>
                <w:color w:val="000000" w:themeColor="text1"/>
              </w:rPr>
              <w:t xml:space="preserve"> storosios ar tiesiosios žarnos vėžiui gydyti kartu taikant </w:t>
            </w:r>
            <w:proofErr w:type="spellStart"/>
            <w:r w:rsidRPr="00524173">
              <w:rPr>
                <w:rFonts w:ascii="Times New Roman" w:hAnsi="Times New Roman" w:cs="Times New Roman"/>
                <w:color w:val="000000" w:themeColor="text1"/>
              </w:rPr>
              <w:t>irinotekano</w:t>
            </w:r>
            <w:proofErr w:type="spellEnd"/>
            <w:r w:rsidRPr="00524173">
              <w:rPr>
                <w:rFonts w:ascii="Times New Roman" w:hAnsi="Times New Roman" w:cs="Times New Roman"/>
                <w:color w:val="000000" w:themeColor="text1"/>
              </w:rPr>
              <w:t xml:space="preserve"> ar </w:t>
            </w:r>
            <w:proofErr w:type="spellStart"/>
            <w:r w:rsidRPr="00524173">
              <w:rPr>
                <w:rFonts w:ascii="Times New Roman" w:hAnsi="Times New Roman" w:cs="Times New Roman"/>
                <w:color w:val="000000" w:themeColor="text1"/>
              </w:rPr>
              <w:t>oksaliplatinos</w:t>
            </w:r>
            <w:proofErr w:type="spellEnd"/>
            <w:r w:rsidRPr="00524173">
              <w:rPr>
                <w:rFonts w:ascii="Times New Roman" w:hAnsi="Times New Roman" w:cs="Times New Roman"/>
                <w:color w:val="000000" w:themeColor="text1"/>
              </w:rPr>
              <w:t xml:space="preserve"> chemoterapiją, kai naviko audiniuose yra nustatytas laukinio tipo RAS genas, pacientams, kuriems prieš tai nebuvo taikyta chemoterapija </w:t>
            </w:r>
            <w:proofErr w:type="spellStart"/>
            <w:r w:rsidRPr="00524173">
              <w:rPr>
                <w:rFonts w:ascii="Times New Roman" w:hAnsi="Times New Roman" w:cs="Times New Roman"/>
                <w:color w:val="000000" w:themeColor="text1"/>
              </w:rPr>
              <w:t>metastazavusiam</w:t>
            </w:r>
            <w:proofErr w:type="spellEnd"/>
            <w:r w:rsidRPr="00524173">
              <w:rPr>
                <w:rFonts w:ascii="Times New Roman" w:hAnsi="Times New Roman" w:cs="Times New Roman"/>
                <w:color w:val="000000" w:themeColor="text1"/>
              </w:rPr>
              <w:t xml:space="preserve"> vėžiui gydyti. </w:t>
            </w:r>
            <w:proofErr w:type="spellStart"/>
            <w:r w:rsidRPr="00524173">
              <w:rPr>
                <w:rFonts w:ascii="Times New Roman" w:hAnsi="Times New Roman" w:cs="Times New Roman"/>
                <w:color w:val="000000" w:themeColor="text1"/>
              </w:rPr>
              <w:t>Monoterapija</w:t>
            </w:r>
            <w:proofErr w:type="spellEnd"/>
            <w:r w:rsidRPr="0052417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2417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Cetuximab</w:t>
            </w:r>
            <w:proofErr w:type="spellEnd"/>
            <w:r w:rsidRPr="00524173">
              <w:rPr>
                <w:rFonts w:ascii="Times New Roman" w:hAnsi="Times New Roman" w:cs="Times New Roman"/>
                <w:color w:val="000000" w:themeColor="text1"/>
              </w:rPr>
              <w:t xml:space="preserve"> ar </w:t>
            </w:r>
            <w:proofErr w:type="spellStart"/>
            <w:r w:rsidRPr="0052417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Panitumumab</w:t>
            </w:r>
            <w:proofErr w:type="spellEnd"/>
            <w:r w:rsidRPr="00524173">
              <w:rPr>
                <w:rFonts w:ascii="Times New Roman" w:hAnsi="Times New Roman" w:cs="Times New Roman"/>
                <w:color w:val="000000" w:themeColor="text1"/>
              </w:rPr>
              <w:t xml:space="preserve"> gali būti skiriama, kai ankstesnis gydymas </w:t>
            </w:r>
            <w:proofErr w:type="spellStart"/>
            <w:r w:rsidRPr="00524173">
              <w:rPr>
                <w:rFonts w:ascii="Times New Roman" w:hAnsi="Times New Roman" w:cs="Times New Roman"/>
                <w:color w:val="000000" w:themeColor="text1"/>
              </w:rPr>
              <w:t>fluoropirimidinais</w:t>
            </w:r>
            <w:proofErr w:type="spellEnd"/>
            <w:r w:rsidRPr="00524173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524173">
              <w:rPr>
                <w:rFonts w:ascii="Times New Roman" w:hAnsi="Times New Roman" w:cs="Times New Roman"/>
                <w:color w:val="000000" w:themeColor="text1"/>
              </w:rPr>
              <w:t>Irinotekanu</w:t>
            </w:r>
            <w:proofErr w:type="spellEnd"/>
            <w:r w:rsidRPr="00524173">
              <w:rPr>
                <w:rFonts w:ascii="Times New Roman" w:hAnsi="Times New Roman" w:cs="Times New Roman"/>
                <w:color w:val="000000" w:themeColor="text1"/>
              </w:rPr>
              <w:t xml:space="preserve"> ir </w:t>
            </w:r>
            <w:proofErr w:type="spellStart"/>
            <w:r w:rsidRPr="00524173">
              <w:rPr>
                <w:rFonts w:ascii="Times New Roman" w:hAnsi="Times New Roman" w:cs="Times New Roman"/>
                <w:color w:val="000000" w:themeColor="text1"/>
              </w:rPr>
              <w:t>Oksaliplatina</w:t>
            </w:r>
            <w:proofErr w:type="spellEnd"/>
            <w:r w:rsidRPr="00524173">
              <w:rPr>
                <w:rFonts w:ascii="Times New Roman" w:hAnsi="Times New Roman" w:cs="Times New Roman"/>
                <w:color w:val="000000" w:themeColor="text1"/>
              </w:rPr>
              <w:t xml:space="preserve"> buvo neveiksmingas arba yra šių vaistinių preparatų vartojimo kontraindikacijų. Gydymas </w:t>
            </w:r>
            <w:proofErr w:type="spellStart"/>
            <w:r w:rsidRPr="00524173">
              <w:rPr>
                <w:rFonts w:ascii="Times New Roman" w:hAnsi="Times New Roman" w:cs="Times New Roman"/>
                <w:color w:val="000000" w:themeColor="text1"/>
              </w:rPr>
              <w:t>monoterapija</w:t>
            </w:r>
            <w:proofErr w:type="spellEnd"/>
            <w:r w:rsidRPr="00524173">
              <w:rPr>
                <w:rFonts w:ascii="Times New Roman" w:hAnsi="Times New Roman" w:cs="Times New Roman"/>
                <w:color w:val="000000" w:themeColor="text1"/>
              </w:rPr>
              <w:t xml:space="preserve"> skiriamas tik RAS laukinio tipo </w:t>
            </w:r>
            <w:proofErr w:type="spellStart"/>
            <w:r w:rsidRPr="00524173">
              <w:rPr>
                <w:rFonts w:ascii="Times New Roman" w:hAnsi="Times New Roman" w:cs="Times New Roman"/>
                <w:color w:val="000000" w:themeColor="text1"/>
              </w:rPr>
              <w:t>metastazavusiu</w:t>
            </w:r>
            <w:proofErr w:type="spellEnd"/>
            <w:r w:rsidRPr="00524173">
              <w:rPr>
                <w:rFonts w:ascii="Times New Roman" w:hAnsi="Times New Roman" w:cs="Times New Roman"/>
                <w:color w:val="000000" w:themeColor="text1"/>
              </w:rPr>
              <w:t xml:space="preserve"> gaubtinės ir tiesiosios žarnos vėžiu sergantiems pacientams, kuriems pirmaeiliam </w:t>
            </w:r>
            <w:proofErr w:type="spellStart"/>
            <w:r w:rsidRPr="00524173">
              <w:rPr>
                <w:rFonts w:ascii="Times New Roman" w:hAnsi="Times New Roman" w:cs="Times New Roman"/>
                <w:color w:val="000000" w:themeColor="text1"/>
              </w:rPr>
              <w:t>metastazavusiam</w:t>
            </w:r>
            <w:proofErr w:type="spellEnd"/>
            <w:r w:rsidRPr="0052417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24173">
              <w:rPr>
                <w:rFonts w:ascii="Times New Roman" w:hAnsi="Times New Roman" w:cs="Times New Roman"/>
                <w:color w:val="000000" w:themeColor="text1"/>
              </w:rPr>
              <w:t>kolorektalinio</w:t>
            </w:r>
            <w:proofErr w:type="spellEnd"/>
            <w:r w:rsidRPr="00524173">
              <w:rPr>
                <w:rFonts w:ascii="Times New Roman" w:hAnsi="Times New Roman" w:cs="Times New Roman"/>
                <w:color w:val="000000" w:themeColor="text1"/>
              </w:rPr>
              <w:t xml:space="preserve"> vėžiui gydyti nebuvo skirti vaistiniai preparatai </w:t>
            </w:r>
            <w:proofErr w:type="spellStart"/>
            <w:r w:rsidRPr="0052417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Cetuximab</w:t>
            </w:r>
            <w:proofErr w:type="spellEnd"/>
            <w:r w:rsidRPr="00524173">
              <w:rPr>
                <w:rFonts w:ascii="Times New Roman" w:hAnsi="Times New Roman" w:cs="Times New Roman"/>
                <w:color w:val="000000" w:themeColor="text1"/>
              </w:rPr>
              <w:t xml:space="preserve"> ar </w:t>
            </w:r>
            <w:proofErr w:type="spellStart"/>
            <w:r w:rsidRPr="0052417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Panitumumab</w:t>
            </w:r>
            <w:proofErr w:type="spellEnd"/>
            <w:r w:rsidRPr="00524173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</w:p>
          <w:p w14:paraId="38E0F794" w14:textId="77777777" w:rsidR="00524173" w:rsidRPr="00524173" w:rsidRDefault="00524173" w:rsidP="0052417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2417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(</w:t>
            </w:r>
            <w:r w:rsidRPr="00524173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tiekėjas</w:t>
            </w:r>
            <w:r w:rsidRPr="0052417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pildo 4 stulpelį)</w:t>
            </w:r>
          </w:p>
        </w:tc>
        <w:tc>
          <w:tcPr>
            <w:tcW w:w="2516" w:type="dxa"/>
            <w:vAlign w:val="center"/>
          </w:tcPr>
          <w:p w14:paraId="2986AFB9" w14:textId="3965A800" w:rsidR="00524173" w:rsidRPr="00524173" w:rsidRDefault="00203C17" w:rsidP="005241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Atitinka</w:t>
            </w:r>
          </w:p>
        </w:tc>
      </w:tr>
      <w:tr w:rsidR="00524173" w:rsidRPr="00524173" w14:paraId="151DC080" w14:textId="77777777" w:rsidTr="008B348C">
        <w:trPr>
          <w:jc w:val="center"/>
        </w:trPr>
        <w:tc>
          <w:tcPr>
            <w:tcW w:w="940" w:type="dxa"/>
            <w:vAlign w:val="center"/>
          </w:tcPr>
          <w:p w14:paraId="19A48B21" w14:textId="77777777" w:rsidR="00524173" w:rsidRPr="00524173" w:rsidRDefault="00524173" w:rsidP="0052417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524173">
              <w:rPr>
                <w:rFonts w:ascii="Times New Roman" w:hAnsi="Times New Roman" w:cs="Times New Roman"/>
                <w:bCs/>
              </w:rPr>
              <w:t>5.</w:t>
            </w:r>
          </w:p>
        </w:tc>
        <w:tc>
          <w:tcPr>
            <w:tcW w:w="6410" w:type="dxa"/>
            <w:vAlign w:val="center"/>
          </w:tcPr>
          <w:p w14:paraId="587A2D87" w14:textId="77777777" w:rsidR="00524173" w:rsidRPr="00524173" w:rsidRDefault="00524173" w:rsidP="0052417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24173">
              <w:rPr>
                <w:rFonts w:ascii="Times New Roman" w:hAnsi="Times New Roman" w:cs="Times New Roman"/>
                <w:bCs/>
              </w:rPr>
              <w:t>RAS (KRAS ir NRAS) testų atlikimas.</w:t>
            </w:r>
          </w:p>
        </w:tc>
        <w:tc>
          <w:tcPr>
            <w:tcW w:w="4961" w:type="dxa"/>
            <w:vAlign w:val="center"/>
          </w:tcPr>
          <w:p w14:paraId="62318B41" w14:textId="77777777" w:rsidR="00524173" w:rsidRPr="00524173" w:rsidRDefault="00524173" w:rsidP="0052417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24173">
              <w:rPr>
                <w:rFonts w:ascii="Times New Roman" w:hAnsi="Times New Roman" w:cs="Times New Roman"/>
                <w:bCs/>
              </w:rPr>
              <w:t>Tiekėjas teikdamas pasiūlymą, įsipareigoja vaistiniu preparatu potencialiai planuojamiems gydyti pacientams (ne mažiau 200 pacientų per metus) apmokėti RAS (KRAS ir NRAS) testų atlikimą,</w:t>
            </w:r>
          </w:p>
          <w:p w14:paraId="21B81614" w14:textId="77777777" w:rsidR="00524173" w:rsidRPr="00524173" w:rsidRDefault="00524173" w:rsidP="0052417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2417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(</w:t>
            </w:r>
            <w:r w:rsidRPr="00524173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tiekėjas</w:t>
            </w:r>
            <w:r w:rsidRPr="0052417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pildo 4 stulpelį)</w:t>
            </w:r>
          </w:p>
        </w:tc>
        <w:tc>
          <w:tcPr>
            <w:tcW w:w="2516" w:type="dxa"/>
            <w:vAlign w:val="center"/>
          </w:tcPr>
          <w:p w14:paraId="2E33D276" w14:textId="4E5749F4" w:rsidR="00524173" w:rsidRPr="00524173" w:rsidRDefault="002B6BB1" w:rsidP="005241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Atitinka</w:t>
            </w:r>
          </w:p>
        </w:tc>
      </w:tr>
      <w:tr w:rsidR="00524173" w:rsidRPr="00524173" w14:paraId="58589E7D" w14:textId="77777777" w:rsidTr="008B348C">
        <w:trPr>
          <w:jc w:val="center"/>
        </w:trPr>
        <w:tc>
          <w:tcPr>
            <w:tcW w:w="940" w:type="dxa"/>
            <w:vAlign w:val="center"/>
          </w:tcPr>
          <w:p w14:paraId="316EBADA" w14:textId="77777777" w:rsidR="00524173" w:rsidRPr="00524173" w:rsidRDefault="00524173" w:rsidP="0052417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524173">
              <w:rPr>
                <w:rFonts w:ascii="Times New Roman" w:hAnsi="Times New Roman" w:cs="Times New Roman"/>
                <w:bCs/>
              </w:rPr>
              <w:t xml:space="preserve">6. </w:t>
            </w:r>
          </w:p>
        </w:tc>
        <w:tc>
          <w:tcPr>
            <w:tcW w:w="6410" w:type="dxa"/>
            <w:vAlign w:val="center"/>
          </w:tcPr>
          <w:p w14:paraId="00031A8F" w14:textId="77777777" w:rsidR="00524173" w:rsidRPr="00524173" w:rsidRDefault="00524173" w:rsidP="0052417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24173">
              <w:rPr>
                <w:rFonts w:ascii="Times New Roman" w:hAnsi="Times New Roman" w:cs="Times New Roman"/>
                <w:bCs/>
              </w:rPr>
              <w:t>Siūlomo vaistinio preparato tinkamumo naudoti laikas</w:t>
            </w:r>
          </w:p>
        </w:tc>
        <w:tc>
          <w:tcPr>
            <w:tcW w:w="4961" w:type="dxa"/>
            <w:vAlign w:val="center"/>
          </w:tcPr>
          <w:p w14:paraId="121E9FDE" w14:textId="77777777" w:rsidR="00524173" w:rsidRPr="00524173" w:rsidRDefault="00524173" w:rsidP="00524173">
            <w:pPr>
              <w:jc w:val="both"/>
              <w:rPr>
                <w:rFonts w:ascii="Times New Roman" w:hAnsi="Times New Roman" w:cs="Times New Roman"/>
              </w:rPr>
            </w:pPr>
            <w:r w:rsidRPr="00524173">
              <w:rPr>
                <w:rFonts w:ascii="Times New Roman" w:hAnsi="Times New Roman" w:cs="Times New Roman"/>
                <w:bCs/>
              </w:rPr>
              <w:t xml:space="preserve">Pristatymo į gydymo įstaigą dieną, vaisto tinkamumo naudoti laikas turi būti ne trumpesnis kaip </w:t>
            </w:r>
            <w:r w:rsidRPr="00524173">
              <w:rPr>
                <w:rFonts w:ascii="Times New Roman" w:hAnsi="Times New Roman" w:cs="Times New Roman"/>
                <w:bCs/>
                <w:u w:val="single"/>
              </w:rPr>
              <w:t>50 proc.</w:t>
            </w:r>
            <w:r w:rsidRPr="00524173">
              <w:rPr>
                <w:rFonts w:ascii="Times New Roman" w:hAnsi="Times New Roman" w:cs="Times New Roman"/>
                <w:bCs/>
              </w:rPr>
              <w:t xml:space="preserve"> bendro vaistinio preparato galiojimo laiko</w:t>
            </w:r>
            <w:r w:rsidRPr="00524173">
              <w:rPr>
                <w:rFonts w:ascii="Times New Roman" w:hAnsi="Times New Roman" w:cs="Times New Roman"/>
              </w:rPr>
              <w:t>.</w:t>
            </w:r>
          </w:p>
          <w:p w14:paraId="3BE7B8CE" w14:textId="77777777" w:rsidR="00524173" w:rsidRPr="00524173" w:rsidRDefault="00524173" w:rsidP="0052417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24173">
              <w:rPr>
                <w:rFonts w:ascii="Times New Roman" w:hAnsi="Times New Roman" w:cs="Times New Roman"/>
                <w:i/>
                <w:iCs/>
              </w:rPr>
              <w:t>(t</w:t>
            </w:r>
            <w:r w:rsidRPr="00524173">
              <w:rPr>
                <w:rFonts w:ascii="Times New Roman" w:hAnsi="Times New Roman" w:cs="Times New Roman"/>
                <w:bCs/>
                <w:i/>
                <w:iCs/>
              </w:rPr>
              <w:t>iekėjas pildo 4 stulpelį)</w:t>
            </w:r>
          </w:p>
        </w:tc>
        <w:tc>
          <w:tcPr>
            <w:tcW w:w="2516" w:type="dxa"/>
            <w:vAlign w:val="center"/>
          </w:tcPr>
          <w:p w14:paraId="43A97E21" w14:textId="18AD3DA8" w:rsidR="00524173" w:rsidRPr="00524173" w:rsidRDefault="002B6BB1" w:rsidP="005241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Atitinka</w:t>
            </w:r>
          </w:p>
        </w:tc>
      </w:tr>
    </w:tbl>
    <w:p w14:paraId="3B5FCBA3" w14:textId="33F64DDB" w:rsidR="002F6C37" w:rsidRPr="00524173" w:rsidRDefault="002F6C37" w:rsidP="00524173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sectPr w:rsidR="002F6C37" w:rsidRPr="00524173" w:rsidSect="009067CB">
      <w:headerReference w:type="default" r:id="rId8"/>
      <w:footerReference w:type="default" r:id="rId9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406FB" w14:textId="77777777" w:rsidR="00170154" w:rsidRDefault="00170154" w:rsidP="009067CB">
      <w:pPr>
        <w:spacing w:after="0" w:line="240" w:lineRule="auto"/>
      </w:pPr>
      <w:r>
        <w:separator/>
      </w:r>
    </w:p>
  </w:endnote>
  <w:endnote w:type="continuationSeparator" w:id="0">
    <w:p w14:paraId="7CD27407" w14:textId="77777777" w:rsidR="00170154" w:rsidRDefault="00170154" w:rsidP="009067CB">
      <w:pPr>
        <w:spacing w:after="0" w:line="240" w:lineRule="auto"/>
      </w:pPr>
      <w:r>
        <w:continuationSeparator/>
      </w:r>
    </w:p>
  </w:endnote>
  <w:endnote w:type="continuationNotice" w:id="1">
    <w:p w14:paraId="702C754E" w14:textId="77777777" w:rsidR="00170154" w:rsidRDefault="001701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0867417"/>
      <w:docPartObj>
        <w:docPartGallery w:val="Page Numbers (Bottom of Page)"/>
        <w:docPartUnique/>
      </w:docPartObj>
    </w:sdtPr>
    <w:sdtContent>
      <w:p w14:paraId="5F40C075" w14:textId="2C887A1C" w:rsidR="00047733" w:rsidRDefault="00047733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D4771B" w14:textId="77777777" w:rsidR="00047733" w:rsidRDefault="0004773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B7528" w14:textId="77777777" w:rsidR="00170154" w:rsidRDefault="00170154" w:rsidP="009067CB">
      <w:pPr>
        <w:spacing w:after="0" w:line="240" w:lineRule="auto"/>
      </w:pPr>
      <w:r>
        <w:separator/>
      </w:r>
    </w:p>
  </w:footnote>
  <w:footnote w:type="continuationSeparator" w:id="0">
    <w:p w14:paraId="1F0A1262" w14:textId="77777777" w:rsidR="00170154" w:rsidRDefault="00170154" w:rsidP="009067CB">
      <w:pPr>
        <w:spacing w:after="0" w:line="240" w:lineRule="auto"/>
      </w:pPr>
      <w:r>
        <w:continuationSeparator/>
      </w:r>
    </w:p>
  </w:footnote>
  <w:footnote w:type="continuationNotice" w:id="1">
    <w:p w14:paraId="410238B6" w14:textId="77777777" w:rsidR="00170154" w:rsidRDefault="001701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1EC19" w14:textId="77777777" w:rsidR="00524173" w:rsidRDefault="00524173" w:rsidP="00524173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b/>
        <w:bCs/>
        <w:color w:val="333333"/>
      </w:rPr>
    </w:pPr>
    <w:r w:rsidRPr="00524173">
      <w:rPr>
        <w:rFonts w:ascii="Times New Roman" w:eastAsia="Times New Roman" w:hAnsi="Times New Roman" w:cs="Times New Roman"/>
        <w:b/>
        <w:bCs/>
        <w:color w:val="333333"/>
      </w:rPr>
      <w:t xml:space="preserve">MONOKLONINIAI ANTIKŪNAI METASTAZAVUSIAM GAUBTINĖS ARBA TIESIOSIOS ŽARNOS VĖŽIUI GYDYTI </w:t>
    </w:r>
  </w:p>
  <w:p w14:paraId="20843C28" w14:textId="020562B8" w:rsidR="009067CB" w:rsidRPr="00817E2C" w:rsidRDefault="00524173" w:rsidP="00524173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b/>
        <w:bCs/>
        <w:color w:val="333333"/>
      </w:rPr>
    </w:pPr>
    <w:r w:rsidRPr="00524173">
      <w:rPr>
        <w:rFonts w:ascii="Times New Roman" w:eastAsia="Times New Roman" w:hAnsi="Times New Roman" w:cs="Times New Roman"/>
        <w:b/>
        <w:bCs/>
        <w:color w:val="333333"/>
      </w:rPr>
      <w:t xml:space="preserve"> (CETUXIMAB ARBA PANITUMUMAB)</w:t>
    </w:r>
  </w:p>
  <w:p w14:paraId="6E2BA801" w14:textId="77777777" w:rsidR="00AB2353" w:rsidRPr="00817E2C" w:rsidRDefault="00AB2353" w:rsidP="009067CB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b/>
        <w:bCs/>
        <w:color w:val="333333"/>
      </w:rPr>
    </w:pPr>
  </w:p>
  <w:p w14:paraId="48379ED5" w14:textId="44C87AE8" w:rsidR="00AB2353" w:rsidRDefault="00FE0161" w:rsidP="00AB2353">
    <w:pPr>
      <w:jc w:val="right"/>
    </w:pPr>
    <w:r>
      <w:rPr>
        <w:rFonts w:ascii="Times New Roman" w:hAnsi="Times New Roman" w:cs="Times New Roman"/>
        <w:sz w:val="23"/>
        <w:szCs w:val="24"/>
      </w:rPr>
      <w:t>S</w:t>
    </w:r>
    <w:r w:rsidR="00AB2353" w:rsidRPr="001D6888">
      <w:rPr>
        <w:rFonts w:ascii="Times New Roman" w:hAnsi="Times New Roman" w:cs="Times New Roman"/>
        <w:sz w:val="23"/>
        <w:szCs w:val="24"/>
      </w:rPr>
      <w:t xml:space="preserve">pecialiųjų </w:t>
    </w:r>
    <w:r w:rsidR="00AB2353" w:rsidRPr="00631E1C">
      <w:rPr>
        <w:rFonts w:ascii="Times New Roman" w:hAnsi="Times New Roman" w:cs="Times New Roman"/>
        <w:sz w:val="23"/>
        <w:szCs w:val="24"/>
      </w:rPr>
      <w:t xml:space="preserve">sąlygų </w:t>
    </w:r>
    <w:r w:rsidR="00AB2353">
      <w:rPr>
        <w:rFonts w:ascii="Times New Roman" w:hAnsi="Times New Roman" w:cs="Times New Roman"/>
        <w:sz w:val="23"/>
        <w:szCs w:val="24"/>
      </w:rPr>
      <w:t>2</w:t>
    </w:r>
    <w:r w:rsidR="00AB2353" w:rsidRPr="00631E1C">
      <w:rPr>
        <w:rFonts w:ascii="Times New Roman" w:hAnsi="Times New Roman" w:cs="Times New Roman"/>
        <w:sz w:val="23"/>
        <w:szCs w:val="24"/>
      </w:rPr>
      <w:t xml:space="preserve">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91877"/>
    <w:multiLevelType w:val="hybridMultilevel"/>
    <w:tmpl w:val="856AB7D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FB1DBE"/>
    <w:multiLevelType w:val="hybridMultilevel"/>
    <w:tmpl w:val="D092147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045402055">
    <w:abstractNumId w:val="1"/>
  </w:num>
  <w:num w:numId="2" w16cid:durableId="756899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F19"/>
    <w:rsid w:val="00023AAC"/>
    <w:rsid w:val="00047733"/>
    <w:rsid w:val="00170154"/>
    <w:rsid w:val="001A5FA7"/>
    <w:rsid w:val="001D3885"/>
    <w:rsid w:val="00203C17"/>
    <w:rsid w:val="0020796F"/>
    <w:rsid w:val="00277C9E"/>
    <w:rsid w:val="002A3F62"/>
    <w:rsid w:val="002B6BB1"/>
    <w:rsid w:val="002F6C37"/>
    <w:rsid w:val="00302A8A"/>
    <w:rsid w:val="00322740"/>
    <w:rsid w:val="00393D01"/>
    <w:rsid w:val="003A6F7C"/>
    <w:rsid w:val="003B424F"/>
    <w:rsid w:val="003B60BB"/>
    <w:rsid w:val="004554B6"/>
    <w:rsid w:val="00490950"/>
    <w:rsid w:val="00494E65"/>
    <w:rsid w:val="004C3F11"/>
    <w:rsid w:val="005011B7"/>
    <w:rsid w:val="00507707"/>
    <w:rsid w:val="00524173"/>
    <w:rsid w:val="005E0E9A"/>
    <w:rsid w:val="00607319"/>
    <w:rsid w:val="00607C02"/>
    <w:rsid w:val="006D2FDD"/>
    <w:rsid w:val="006E0F81"/>
    <w:rsid w:val="00720A84"/>
    <w:rsid w:val="00744F19"/>
    <w:rsid w:val="00817E2C"/>
    <w:rsid w:val="00826640"/>
    <w:rsid w:val="00880725"/>
    <w:rsid w:val="00891BBF"/>
    <w:rsid w:val="009067CB"/>
    <w:rsid w:val="009D24C3"/>
    <w:rsid w:val="00A63AE8"/>
    <w:rsid w:val="00A90597"/>
    <w:rsid w:val="00AA718C"/>
    <w:rsid w:val="00AB2353"/>
    <w:rsid w:val="00AE2CC6"/>
    <w:rsid w:val="00B4236A"/>
    <w:rsid w:val="00B651E2"/>
    <w:rsid w:val="00B73A0B"/>
    <w:rsid w:val="00B93707"/>
    <w:rsid w:val="00C6748B"/>
    <w:rsid w:val="00C87716"/>
    <w:rsid w:val="00CC405E"/>
    <w:rsid w:val="00D31414"/>
    <w:rsid w:val="00D3226B"/>
    <w:rsid w:val="00E77034"/>
    <w:rsid w:val="00F05623"/>
    <w:rsid w:val="00F07282"/>
    <w:rsid w:val="00F145F8"/>
    <w:rsid w:val="00F73954"/>
    <w:rsid w:val="00F81AED"/>
    <w:rsid w:val="00FA3D83"/>
    <w:rsid w:val="00FE0161"/>
    <w:rsid w:val="00FE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2DEB27"/>
  <w15:chartTrackingRefBased/>
  <w15:docId w15:val="{8D1F8C4D-890B-4377-8092-139945C03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067CB"/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067CB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9067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067CB"/>
    <w:rPr>
      <w:kern w:val="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9067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067CB"/>
    <w:rPr>
      <w:kern w:val="0"/>
      <w14:ligatures w14:val="none"/>
    </w:rPr>
  </w:style>
  <w:style w:type="table" w:customStyle="1" w:styleId="Lentelstinklelis1">
    <w:name w:val="Lentelės tinklelis1"/>
    <w:basedOn w:val="prastojilentel"/>
    <w:next w:val="Lentelstinklelis"/>
    <w:uiPriority w:val="39"/>
    <w:rsid w:val="009067CB"/>
    <w:pPr>
      <w:spacing w:after="0" w:line="240" w:lineRule="auto"/>
    </w:pPr>
    <w:rPr>
      <w:rFonts w:eastAsiaTheme="minorEastAsia"/>
      <w:kern w:val="0"/>
      <w:lang w:eastAsia="lt-LT" w:bidi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906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93D01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93D01"/>
    <w:rPr>
      <w:kern w:val="0"/>
      <w:sz w:val="20"/>
      <w:szCs w:val="20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93D01"/>
    <w:rPr>
      <w:vertAlign w:val="superscript"/>
    </w:rPr>
  </w:style>
  <w:style w:type="table" w:customStyle="1" w:styleId="Lentelstinklelis2">
    <w:name w:val="Lentelės tinklelis2"/>
    <w:basedOn w:val="prastojilentel"/>
    <w:next w:val="Lentelstinklelis"/>
    <w:uiPriority w:val="39"/>
    <w:rsid w:val="00524173"/>
    <w:pPr>
      <w:spacing w:after="0" w:line="240" w:lineRule="auto"/>
    </w:pPr>
    <w:rPr>
      <w:rFonts w:eastAsiaTheme="minorEastAsia"/>
      <w:kern w:val="0"/>
      <w:lang w:eastAsia="lt-LT" w:bidi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607319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4533D-39F0-4036-B956-47BE5882F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2914</Words>
  <Characters>1662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Daukšienė</dc:creator>
  <cp:keywords/>
  <dc:description/>
  <cp:lastModifiedBy>user</cp:lastModifiedBy>
  <cp:revision>7</cp:revision>
  <cp:lastPrinted>2023-05-08T07:56:00Z</cp:lastPrinted>
  <dcterms:created xsi:type="dcterms:W3CDTF">2023-04-04T06:27:00Z</dcterms:created>
  <dcterms:modified xsi:type="dcterms:W3CDTF">2023-05-08T08:01:00Z</dcterms:modified>
</cp:coreProperties>
</file>