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A8189"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22D8523E" w14:textId="77777777" w:rsidR="006E502C" w:rsidRDefault="006E502C" w:rsidP="006E502C">
      <w:pPr>
        <w:jc w:val="center"/>
        <w:rPr>
          <w:rFonts w:asciiTheme="minorHAnsi" w:hAnsiTheme="minorHAnsi"/>
          <w:i/>
          <w:sz w:val="22"/>
          <w:szCs w:val="22"/>
        </w:rPr>
      </w:pPr>
    </w:p>
    <w:p w14:paraId="5FD7D689" w14:textId="00889527"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E00A40">
        <w:rPr>
          <w:rFonts w:ascii="Calibri" w:eastAsia="Times New Roman" w:hAnsi="Calibri"/>
          <w:sz w:val="22"/>
          <w:szCs w:val="22"/>
        </w:rPr>
        <w:t>4</w:t>
      </w:r>
      <w:r w:rsidR="000A4F25" w:rsidRPr="000A4F25">
        <w:rPr>
          <w:rFonts w:ascii="Calibri" w:eastAsia="Times New Roman" w:hAnsi="Calibri"/>
          <w:sz w:val="22"/>
          <w:szCs w:val="22"/>
        </w:rPr>
        <w:t xml:space="preserve"> m. </w:t>
      </w:r>
      <w:r w:rsidR="00E00A40">
        <w:rPr>
          <w:rFonts w:ascii="Calibri" w:eastAsia="Times New Roman" w:hAnsi="Calibri"/>
          <w:sz w:val="22"/>
          <w:szCs w:val="22"/>
        </w:rPr>
        <w:t xml:space="preserve">rugpjūčio </w:t>
      </w:r>
      <w:r w:rsidR="00E53F0D">
        <w:rPr>
          <w:rFonts w:ascii="Calibri" w:eastAsia="Times New Roman" w:hAnsi="Calibri"/>
          <w:sz w:val="22"/>
          <w:szCs w:val="22"/>
        </w:rPr>
        <w:t>5</w:t>
      </w:r>
      <w:r w:rsidR="000A4F25" w:rsidRPr="000A4F25">
        <w:rPr>
          <w:rFonts w:ascii="Calibri" w:eastAsia="Times New Roman" w:hAnsi="Calibri"/>
          <w:sz w:val="22"/>
          <w:szCs w:val="22"/>
        </w:rPr>
        <w:t xml:space="preserve"> d.  Nr.</w:t>
      </w:r>
      <w:r w:rsidR="00C06CDE">
        <w:rPr>
          <w:rFonts w:ascii="Calibri" w:eastAsia="Times New Roman" w:hAnsi="Calibri"/>
          <w:sz w:val="22"/>
          <w:szCs w:val="22"/>
        </w:rPr>
        <w:t xml:space="preserve"> S-130</w:t>
      </w:r>
    </w:p>
    <w:p w14:paraId="764E2094" w14:textId="77777777" w:rsidR="000A4F25" w:rsidRDefault="006E502C"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E44D3AA" w14:textId="77777777" w:rsidR="00731556" w:rsidRDefault="00731556"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p>
    <w:p w14:paraId="2178EB04"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6DCAC28" w14:textId="68C4BF66" w:rsidR="000A4F25" w:rsidRPr="00F704D8" w:rsidRDefault="00A5330E"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w:t>
      </w:r>
      <w:r w:rsidR="000A4F25" w:rsidRPr="00F704D8">
        <w:rPr>
          <w:rFonts w:asciiTheme="minorHAnsi" w:hAnsiTheme="minorHAnsi"/>
          <w:b/>
          <w:sz w:val="22"/>
          <w:szCs w:val="22"/>
          <w:lang w:val="lt-LT"/>
        </w:rPr>
        <w:t>ė „Oro navigacija“</w:t>
      </w:r>
      <w:r w:rsidR="00CB1ADD">
        <w:rPr>
          <w:rFonts w:asciiTheme="minorHAnsi" w:hAnsiTheme="minorHAnsi"/>
          <w:sz w:val="22"/>
          <w:szCs w:val="22"/>
          <w:lang w:val="lt-LT"/>
        </w:rPr>
        <w:t xml:space="preserve">, </w:t>
      </w:r>
      <w:r w:rsidR="00056023">
        <w:rPr>
          <w:rFonts w:asciiTheme="minorHAnsi" w:hAnsiTheme="minorHAnsi"/>
          <w:sz w:val="22"/>
          <w:szCs w:val="22"/>
          <w:lang w:val="lt-LT"/>
        </w:rPr>
        <w:t xml:space="preserve">atstovaujama </w:t>
      </w:r>
      <w:r w:rsidR="00284655" w:rsidRPr="001D5F5A">
        <w:rPr>
          <w:rFonts w:asciiTheme="minorHAnsi" w:hAnsiTheme="minorHAnsi"/>
          <w:sz w:val="22"/>
          <w:szCs w:val="22"/>
          <w:lang w:val="lt-LT"/>
        </w:rPr>
        <w:t xml:space="preserve">Sauliaus Batavičiaus, </w:t>
      </w:r>
      <w:r w:rsidR="00284655" w:rsidRPr="00F704D8">
        <w:rPr>
          <w:rFonts w:asciiTheme="minorHAnsi" w:hAnsiTheme="minorHAnsi"/>
          <w:sz w:val="22"/>
          <w:szCs w:val="22"/>
          <w:lang w:val="lt-LT"/>
        </w:rPr>
        <w:t xml:space="preserve">veikiančio pagal </w:t>
      </w:r>
      <w:r w:rsidR="00284655">
        <w:rPr>
          <w:rFonts w:asciiTheme="minorHAnsi" w:hAnsiTheme="minorHAnsi"/>
          <w:sz w:val="22"/>
          <w:szCs w:val="22"/>
          <w:lang w:val="lt-LT"/>
        </w:rPr>
        <w:t>bendrov</w:t>
      </w:r>
      <w:r w:rsidR="00284655" w:rsidRPr="00F704D8">
        <w:rPr>
          <w:rFonts w:asciiTheme="minorHAnsi" w:hAnsiTheme="minorHAnsi"/>
          <w:sz w:val="22"/>
          <w:szCs w:val="22"/>
          <w:lang w:val="lt-LT"/>
        </w:rPr>
        <w:t xml:space="preserve">ės  įstatus </w:t>
      </w:r>
      <w:r w:rsidR="000A4F25" w:rsidRPr="00F704D8">
        <w:rPr>
          <w:rFonts w:asciiTheme="minorHAnsi" w:hAnsiTheme="minorHAnsi"/>
          <w:sz w:val="22"/>
          <w:szCs w:val="22"/>
          <w:lang w:val="lt-LT"/>
        </w:rPr>
        <w:t xml:space="preserve">(toliau – Pirkėjas), </w:t>
      </w:r>
    </w:p>
    <w:p w14:paraId="4AC53ABF"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0B6B7E6B" w14:textId="6765F341" w:rsidR="00CB1ADD" w:rsidRDefault="00284655" w:rsidP="00CB1ADD">
      <w:pPr>
        <w:pStyle w:val="SSutPunktas"/>
        <w:spacing w:after="120"/>
        <w:rPr>
          <w:rFonts w:asciiTheme="minorHAnsi" w:hAnsiTheme="minorHAnsi"/>
          <w:sz w:val="22"/>
          <w:szCs w:val="22"/>
          <w:lang w:val="lt-LT"/>
        </w:rPr>
      </w:pPr>
      <w:r w:rsidRPr="00284655">
        <w:rPr>
          <w:rFonts w:asciiTheme="minorHAnsi" w:hAnsiTheme="minorHAnsi"/>
          <w:b/>
          <w:sz w:val="22"/>
          <w:szCs w:val="22"/>
          <w:lang w:val="lt-LT"/>
        </w:rPr>
        <w:t>Elektrobalt</w:t>
      </w:r>
      <w:r w:rsidR="00E00A40">
        <w:rPr>
          <w:rFonts w:asciiTheme="minorHAnsi" w:hAnsiTheme="minorHAnsi"/>
          <w:b/>
          <w:sz w:val="22"/>
          <w:szCs w:val="22"/>
          <w:lang w:val="lt-LT"/>
        </w:rPr>
        <w:t>, UAB</w:t>
      </w:r>
      <w:r w:rsidR="000A4F25" w:rsidRPr="00284655">
        <w:rPr>
          <w:rFonts w:asciiTheme="minorHAnsi" w:hAnsiTheme="minorHAnsi"/>
          <w:sz w:val="22"/>
          <w:szCs w:val="22"/>
          <w:lang w:val="lt-LT"/>
        </w:rPr>
        <w:t xml:space="preserve">, </w:t>
      </w:r>
      <w:r w:rsidR="000A4F25" w:rsidRPr="00284655">
        <w:rPr>
          <w:rFonts w:asciiTheme="minorHAnsi" w:hAnsiTheme="minorHAnsi"/>
          <w:sz w:val="22"/>
          <w:szCs w:val="22"/>
        </w:rPr>
        <w:t>atstovaujama</w:t>
      </w:r>
      <w:r w:rsidR="00BA49F1">
        <w:rPr>
          <w:rFonts w:asciiTheme="minorHAnsi" w:hAnsiTheme="minorHAnsi"/>
          <w:sz w:val="22"/>
          <w:szCs w:val="22"/>
          <w:lang w:val="en-US"/>
        </w:rPr>
        <w:t xml:space="preserve"> </w:t>
      </w:r>
      <w:r w:rsidR="00BA49F1">
        <w:rPr>
          <w:rFonts w:asciiTheme="minorHAnsi" w:hAnsiTheme="minorHAnsi"/>
          <w:sz w:val="22"/>
          <w:szCs w:val="22"/>
          <w:lang w:val="lt-LT"/>
        </w:rPr>
        <w:t>Žilvino Čėsnos</w:t>
      </w:r>
      <w:r w:rsidR="000A4F25" w:rsidRPr="00F704D8">
        <w:rPr>
          <w:rFonts w:asciiTheme="minorHAnsi" w:hAnsiTheme="minorHAnsi"/>
          <w:sz w:val="22"/>
          <w:szCs w:val="22"/>
        </w:rPr>
        <w:t xml:space="preserve">, veikiančio </w:t>
      </w:r>
      <w:r w:rsidR="000A4F25" w:rsidRPr="00F704D8">
        <w:rPr>
          <w:rFonts w:asciiTheme="minorHAnsi" w:hAnsiTheme="minorHAnsi"/>
          <w:sz w:val="22"/>
          <w:szCs w:val="22"/>
          <w:lang w:val="lt-LT"/>
        </w:rPr>
        <w:t>pagal</w:t>
      </w:r>
      <w:r w:rsidR="00BA49F1">
        <w:rPr>
          <w:rFonts w:asciiTheme="minorHAnsi" w:hAnsiTheme="minorHAnsi"/>
          <w:sz w:val="22"/>
          <w:szCs w:val="22"/>
          <w:lang w:val="lt-LT"/>
        </w:rPr>
        <w:t xml:space="preserve"> </w:t>
      </w:r>
      <w:r w:rsidR="00BA49F1">
        <w:rPr>
          <w:rFonts w:asciiTheme="minorHAnsi" w:hAnsiTheme="minorHAnsi"/>
          <w:sz w:val="22"/>
          <w:szCs w:val="22"/>
          <w:lang w:val="en-US"/>
        </w:rPr>
        <w:t xml:space="preserve">2023-12-29 </w:t>
      </w:r>
      <w:r w:rsidR="00BA49F1" w:rsidRPr="00BA49F1">
        <w:rPr>
          <w:rFonts w:asciiTheme="minorHAnsi" w:hAnsiTheme="minorHAnsi"/>
          <w:sz w:val="22"/>
          <w:szCs w:val="22"/>
          <w:lang w:val="lt-LT"/>
        </w:rPr>
        <w:t>įgaliojimą</w:t>
      </w:r>
      <w:r w:rsidR="00BA49F1">
        <w:rPr>
          <w:rFonts w:asciiTheme="minorHAnsi" w:hAnsiTheme="minorHAnsi"/>
          <w:sz w:val="22"/>
          <w:szCs w:val="22"/>
          <w:lang w:val="en-US"/>
        </w:rPr>
        <w:t xml:space="preserve"> Nr. 24/002-</w:t>
      </w:r>
      <w:r w:rsidR="00BA49F1">
        <w:rPr>
          <w:rFonts w:asciiTheme="minorHAnsi" w:hAnsiTheme="minorHAnsi"/>
          <w:sz w:val="22"/>
          <w:szCs w:val="22"/>
          <w:lang w:val="lt-LT"/>
        </w:rPr>
        <w:t xml:space="preserve">Į </w:t>
      </w:r>
      <w:r w:rsidR="000A4F25" w:rsidRPr="00F704D8">
        <w:rPr>
          <w:rFonts w:asciiTheme="minorHAnsi" w:hAnsiTheme="minorHAnsi"/>
          <w:sz w:val="22"/>
          <w:szCs w:val="22"/>
          <w:lang w:val="lt-LT"/>
        </w:rPr>
        <w:t xml:space="preserve">(toliau – Tiekėjas), </w:t>
      </w:r>
    </w:p>
    <w:p w14:paraId="35DD77DC" w14:textId="1BF96482" w:rsidR="000A4F25" w:rsidRPr="00990AC0" w:rsidRDefault="000A4F25" w:rsidP="00990AC0">
      <w:pPr>
        <w:pStyle w:val="SSutPunktas"/>
        <w:rPr>
          <w:rFonts w:asciiTheme="minorHAnsi" w:hAnsiTheme="minorHAnsi"/>
          <w:sz w:val="22"/>
          <w:szCs w:val="22"/>
          <w:lang w:val="lt-LT"/>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bookmarkStart w:id="0" w:name="_Hlk121416575"/>
      <w:r w:rsidR="00A5330E">
        <w:rPr>
          <w:rFonts w:asciiTheme="minorHAnsi" w:hAnsiTheme="minorHAnsi"/>
          <w:sz w:val="22"/>
          <w:szCs w:val="22"/>
          <w:lang w:val="lt-LT"/>
        </w:rPr>
        <w:t>E</w:t>
      </w:r>
      <w:r w:rsidR="00A5330E" w:rsidRPr="00A5330E">
        <w:rPr>
          <w:rFonts w:asciiTheme="minorHAnsi" w:hAnsiTheme="minorHAnsi"/>
          <w:sz w:val="22"/>
          <w:szCs w:val="22"/>
          <w:lang w:val="lt-LT"/>
        </w:rPr>
        <w:t xml:space="preserve">lektros tinklo valdiklių, perjungiklių, jutiklių </w:t>
      </w:r>
      <w:bookmarkEnd w:id="0"/>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A5330E" w:rsidRPr="00A5330E">
        <w:rPr>
          <w:rFonts w:asciiTheme="minorHAnsi" w:hAnsiTheme="minorHAnsi"/>
          <w:sz w:val="22"/>
          <w:szCs w:val="22"/>
          <w:lang w:val="lt-LT"/>
        </w:rPr>
        <w:t xml:space="preserve">skelbiamos apklausos </w:t>
      </w:r>
      <w:r w:rsidRPr="00F704D8">
        <w:rPr>
          <w:rFonts w:asciiTheme="minorHAnsi" w:hAnsiTheme="minorHAnsi"/>
          <w:sz w:val="22"/>
          <w:szCs w:val="22"/>
          <w:lang w:val="lt-LT"/>
        </w:rPr>
        <w:t xml:space="preserve">būdu (toliau – Pirkimas) rezultatus, vadovaudamosi Lietuvos Respublikos viešųjų pirkimų įstatymu (toliau – Įstatymas), sudarė šią </w:t>
      </w:r>
      <w:r w:rsidR="00A5330E" w:rsidRPr="00A5330E">
        <w:rPr>
          <w:rFonts w:asciiTheme="minorHAnsi" w:hAnsiTheme="minorHAnsi"/>
          <w:sz w:val="22"/>
          <w:szCs w:val="22"/>
          <w:lang w:val="lt-LT"/>
        </w:rPr>
        <w:t xml:space="preserve">preliminariąją </w:t>
      </w:r>
      <w:r w:rsidR="00A5330E">
        <w:rPr>
          <w:rFonts w:asciiTheme="minorHAnsi" w:hAnsiTheme="minorHAnsi"/>
          <w:sz w:val="22"/>
          <w:szCs w:val="22"/>
          <w:lang w:val="lt-LT"/>
        </w:rPr>
        <w:t>e</w:t>
      </w:r>
      <w:r w:rsidR="00A5330E" w:rsidRPr="00A5330E">
        <w:rPr>
          <w:rFonts w:asciiTheme="minorHAnsi" w:hAnsiTheme="minorHAnsi"/>
          <w:sz w:val="22"/>
          <w:szCs w:val="22"/>
          <w:lang w:val="lt-LT"/>
        </w:rPr>
        <w:t xml:space="preserve">lektros tinklo valdiklių, perjungiklių, jutiklių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0C4BF41D"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58E0B10F" w14:textId="4F7DA9B1"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w:t>
      </w:r>
      <w:r w:rsidR="00A5330E">
        <w:rPr>
          <w:rFonts w:asciiTheme="minorHAnsi" w:hAnsiTheme="minorHAnsi"/>
          <w:b/>
          <w:sz w:val="22"/>
          <w:szCs w:val="22"/>
        </w:rPr>
        <w:t>S</w:t>
      </w:r>
    </w:p>
    <w:p w14:paraId="3EF572F4" w14:textId="77777777" w:rsidR="006E502C" w:rsidRPr="00F704D8" w:rsidRDefault="006E502C" w:rsidP="006E502C">
      <w:pPr>
        <w:tabs>
          <w:tab w:val="left" w:pos="426"/>
        </w:tabs>
        <w:spacing w:before="60" w:after="60"/>
        <w:rPr>
          <w:rFonts w:asciiTheme="minorHAnsi" w:hAnsiTheme="minorHAnsi"/>
          <w:b/>
          <w:sz w:val="22"/>
          <w:szCs w:val="22"/>
        </w:rPr>
      </w:pPr>
    </w:p>
    <w:p w14:paraId="6947C0B2"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00B86680" w14:textId="59595781"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w:t>
      </w:r>
      <w:r w:rsidR="00EC241B">
        <w:rPr>
          <w:rFonts w:asciiTheme="minorHAnsi" w:hAnsiTheme="minorHAnsi"/>
          <w:bCs/>
          <w:sz w:val="22"/>
          <w:szCs w:val="22"/>
        </w:rPr>
        <w:t>.</w:t>
      </w:r>
    </w:p>
    <w:p w14:paraId="3D40FD5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0142C47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kimo  sutartis 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79783629"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13C2CBCB" w14:textId="3E1D4CA7"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 </w:t>
      </w:r>
      <w:hyperlink r:id="rId8" w:history="1">
        <w:r w:rsidR="00197C92" w:rsidRPr="009B65B8">
          <w:rPr>
            <w:rStyle w:val="Hyperlink"/>
            <w:rFonts w:asciiTheme="minorHAnsi" w:hAnsiTheme="minorHAnsi"/>
            <w:sz w:val="22"/>
            <w:szCs w:val="22"/>
          </w:rPr>
          <w:t>https://pirkimai.eviesiejipirkimai.lt</w:t>
        </w:r>
      </w:hyperlink>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E00A40" w:rsidRPr="00E00A40">
        <w:rPr>
          <w:rFonts w:asciiTheme="minorHAnsi" w:hAnsiTheme="minorHAnsi"/>
          <w:sz w:val="22"/>
          <w:szCs w:val="22"/>
        </w:rPr>
        <w:t>729286</w:t>
      </w:r>
      <w:r w:rsidR="00F37FBF" w:rsidRPr="00197C92">
        <w:rPr>
          <w:rFonts w:asciiTheme="minorHAnsi" w:hAnsiTheme="minorHAnsi"/>
          <w:sz w:val="22"/>
          <w:szCs w:val="22"/>
        </w:rPr>
        <w:t>)</w:t>
      </w:r>
      <w:r w:rsidRPr="00197C92">
        <w:rPr>
          <w:rFonts w:asciiTheme="minorHAnsi" w:hAnsiTheme="minorHAnsi"/>
          <w:sz w:val="22"/>
          <w:szCs w:val="22"/>
        </w:rPr>
        <w:t>.</w:t>
      </w:r>
    </w:p>
    <w:p w14:paraId="3310E45E"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2A15B7C7"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00753B">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1E3807A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668ACB57"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75A7A67D"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3BAAFA1A" w14:textId="77777777" w:rsidR="006E502C" w:rsidRPr="00F704D8" w:rsidRDefault="006E502C" w:rsidP="006E502C">
      <w:pPr>
        <w:tabs>
          <w:tab w:val="left" w:pos="426"/>
        </w:tabs>
        <w:spacing w:before="60" w:after="60"/>
        <w:rPr>
          <w:rFonts w:asciiTheme="minorHAnsi" w:hAnsiTheme="minorHAnsi"/>
          <w:b/>
          <w:sz w:val="22"/>
          <w:szCs w:val="22"/>
        </w:rPr>
      </w:pPr>
    </w:p>
    <w:p w14:paraId="2949987B" w14:textId="54709A84"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1" w:name="_Ref339277411"/>
      <w:r w:rsidRPr="00F704D8">
        <w:rPr>
          <w:rFonts w:asciiTheme="minorHAnsi" w:hAnsiTheme="minorHAnsi"/>
          <w:sz w:val="22"/>
          <w:szCs w:val="22"/>
        </w:rPr>
        <w:t xml:space="preserve">Šios Preliminariosios sutarties objektas yra </w:t>
      </w:r>
      <w:r w:rsidR="00BB2701" w:rsidRPr="00BB2701">
        <w:rPr>
          <w:rFonts w:asciiTheme="minorHAnsi" w:hAnsiTheme="minorHAnsi"/>
          <w:sz w:val="22"/>
          <w:szCs w:val="22"/>
        </w:rPr>
        <w:t>elektros tinklo valdikli</w:t>
      </w:r>
      <w:r w:rsidR="00BB2701">
        <w:rPr>
          <w:rFonts w:asciiTheme="minorHAnsi" w:hAnsiTheme="minorHAnsi"/>
          <w:sz w:val="22"/>
          <w:szCs w:val="22"/>
        </w:rPr>
        <w:t>ai</w:t>
      </w:r>
      <w:r w:rsidR="00BB2701" w:rsidRPr="00BB2701">
        <w:rPr>
          <w:rFonts w:asciiTheme="minorHAnsi" w:hAnsiTheme="minorHAnsi"/>
          <w:sz w:val="22"/>
          <w:szCs w:val="22"/>
        </w:rPr>
        <w:t>, perjungikli</w:t>
      </w:r>
      <w:r w:rsidR="00BB2701">
        <w:rPr>
          <w:rFonts w:asciiTheme="minorHAnsi" w:hAnsiTheme="minorHAnsi"/>
          <w:sz w:val="22"/>
          <w:szCs w:val="22"/>
        </w:rPr>
        <w:t>ai</w:t>
      </w:r>
      <w:r w:rsidR="00BB2701" w:rsidRPr="00BB2701">
        <w:rPr>
          <w:rFonts w:asciiTheme="minorHAnsi" w:hAnsiTheme="minorHAnsi"/>
          <w:sz w:val="22"/>
          <w:szCs w:val="22"/>
        </w:rPr>
        <w:t>, jutikli</w:t>
      </w:r>
      <w:r w:rsidR="00BB2701">
        <w:rPr>
          <w:rFonts w:asciiTheme="minorHAnsi" w:hAnsiTheme="minorHAnsi"/>
          <w:sz w:val="22"/>
          <w:szCs w:val="22"/>
        </w:rPr>
        <w:t>ai</w:t>
      </w:r>
      <w:r w:rsidR="00BB2701" w:rsidRPr="00BB2701">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1"/>
    <w:p w14:paraId="076B62C8"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lastRenderedPageBreak/>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DB939B2"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05E72D7F" w14:textId="794D9C1B"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2"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F04FAA">
        <w:rPr>
          <w:rFonts w:asciiTheme="minorHAnsi" w:hAnsiTheme="minorHAnsi" w:cstheme="minorHAnsi"/>
          <w:b/>
          <w:sz w:val="22"/>
          <w:szCs w:val="22"/>
          <w:lang w:val="en-US"/>
        </w:rPr>
        <w:t>2</w:t>
      </w:r>
      <w:r w:rsidR="00990AC0">
        <w:rPr>
          <w:rFonts w:asciiTheme="minorHAnsi" w:hAnsiTheme="minorHAnsi" w:cstheme="minorHAnsi"/>
          <w:b/>
          <w:sz w:val="22"/>
          <w:szCs w:val="22"/>
          <w:lang w:val="en-US"/>
        </w:rPr>
        <w:t>5</w:t>
      </w:r>
      <w:r w:rsidR="00CB1ADD" w:rsidRPr="007F7236">
        <w:rPr>
          <w:rFonts w:asciiTheme="minorHAnsi" w:hAnsiTheme="minorHAnsi" w:cstheme="minorHAnsi"/>
          <w:b/>
          <w:sz w:val="22"/>
          <w:szCs w:val="22"/>
        </w:rPr>
        <w:t> 000,00</w:t>
      </w:r>
      <w:r w:rsidR="00484E82" w:rsidRPr="007F7236">
        <w:rPr>
          <w:rFonts w:asciiTheme="minorHAnsi" w:hAnsiTheme="minorHAnsi" w:cstheme="minorHAnsi"/>
          <w:b/>
          <w:sz w:val="22"/>
          <w:szCs w:val="22"/>
        </w:rPr>
        <w:t xml:space="preserve"> E</w:t>
      </w:r>
      <w:r w:rsidR="00990AC0">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A82670">
        <w:rPr>
          <w:rFonts w:asciiTheme="minorHAnsi" w:hAnsiTheme="minorHAnsi" w:cstheme="minorHAnsi"/>
          <w:sz w:val="22"/>
          <w:szCs w:val="22"/>
        </w:rPr>
        <w:t>dvide</w:t>
      </w:r>
      <w:r w:rsidR="00990AC0">
        <w:rPr>
          <w:rFonts w:asciiTheme="minorHAnsi" w:hAnsiTheme="minorHAnsi" w:cstheme="minorHAnsi"/>
          <w:sz w:val="22"/>
          <w:szCs w:val="22"/>
        </w:rPr>
        <w:t>šimt penki</w:t>
      </w:r>
      <w:r w:rsidR="00CB1ADD" w:rsidRPr="007F7236">
        <w:rPr>
          <w:rFonts w:asciiTheme="minorHAnsi" w:hAnsiTheme="minorHAnsi" w:cstheme="minorHAnsi"/>
          <w:sz w:val="22"/>
          <w:szCs w:val="22"/>
        </w:rPr>
        <w:t xml:space="preserve"> tūkstanči</w:t>
      </w:r>
      <w:r w:rsidR="00990AC0">
        <w:rPr>
          <w:rFonts w:asciiTheme="minorHAnsi" w:hAnsiTheme="minorHAnsi" w:cstheme="minorHAnsi"/>
          <w:sz w:val="22"/>
          <w:szCs w:val="22"/>
        </w:rPr>
        <w:t>ai</w:t>
      </w:r>
      <w:r w:rsidR="00CB1ADD" w:rsidRPr="007F7236">
        <w:rPr>
          <w:rFonts w:asciiTheme="minorHAnsi" w:hAnsiTheme="minorHAnsi" w:cstheme="minorHAnsi"/>
          <w:sz w:val="22"/>
          <w:szCs w:val="22"/>
        </w:rPr>
        <w:t xml:space="preserve"> eurų</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D25BB5" w:rsidRPr="007F7236">
        <w:rPr>
          <w:rFonts w:asciiTheme="minorHAnsi" w:hAnsiTheme="minorHAnsi" w:cstheme="minorHAnsi"/>
          <w:sz w:val="22"/>
          <w:szCs w:val="22"/>
        </w:rPr>
        <w:t>išpirkti Prekių maksimaliai Preliminariosios sutarties sumai</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10C90DB9"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0C20289C" w14:textId="6A692154"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w:t>
      </w:r>
      <w:r w:rsidR="00990AC0">
        <w:rPr>
          <w:rFonts w:asciiTheme="minorHAnsi" w:eastAsiaTheme="minorHAnsi" w:hAnsiTheme="minorHAnsi" w:cstheme="minorHAnsi"/>
          <w:color w:val="000000"/>
          <w:sz w:val="22"/>
          <w:szCs w:val="22"/>
        </w:rPr>
        <w:t>,</w:t>
      </w:r>
      <w:r w:rsidR="00990AC0" w:rsidRPr="00990AC0">
        <w:t xml:space="preserve"> </w:t>
      </w:r>
      <w:r w:rsidR="00990AC0">
        <w:rPr>
          <w:rFonts w:asciiTheme="minorHAnsi" w:eastAsiaTheme="minorHAnsi" w:hAnsiTheme="minorHAnsi" w:cstheme="minorHAnsi"/>
          <w:color w:val="000000"/>
          <w:sz w:val="22"/>
          <w:szCs w:val="22"/>
        </w:rPr>
        <w:t>S</w:t>
      </w:r>
      <w:r w:rsidR="00990AC0" w:rsidRPr="00990AC0">
        <w:rPr>
          <w:rFonts w:asciiTheme="minorHAnsi" w:eastAsiaTheme="minorHAnsi" w:hAnsiTheme="minorHAnsi" w:cstheme="minorHAnsi"/>
          <w:color w:val="000000"/>
          <w:sz w:val="22"/>
          <w:szCs w:val="22"/>
        </w:rPr>
        <w:t>ąskait</w:t>
      </w:r>
      <w:r w:rsidR="00990AC0">
        <w:rPr>
          <w:rFonts w:asciiTheme="minorHAnsi" w:eastAsiaTheme="minorHAnsi" w:hAnsiTheme="minorHAnsi" w:cstheme="minorHAnsi"/>
          <w:color w:val="000000"/>
          <w:sz w:val="22"/>
          <w:szCs w:val="22"/>
        </w:rPr>
        <w:t>ų</w:t>
      </w:r>
      <w:r w:rsidR="00990AC0" w:rsidRPr="00990AC0">
        <w:rPr>
          <w:rFonts w:asciiTheme="minorHAnsi" w:eastAsiaTheme="minorHAnsi" w:hAnsiTheme="minorHAnsi" w:cstheme="minorHAnsi"/>
          <w:color w:val="000000"/>
          <w:sz w:val="22"/>
          <w:szCs w:val="22"/>
        </w:rPr>
        <w:t xml:space="preserve"> teikimo per „E. sąskaita“ elektroninę sistemą</w:t>
      </w:r>
      <w:r w:rsidRPr="007F7236">
        <w:rPr>
          <w:rFonts w:asciiTheme="minorHAnsi" w:eastAsiaTheme="minorHAnsi" w:hAnsiTheme="minorHAnsi" w:cstheme="minorHAnsi"/>
          <w:color w:val="000000"/>
          <w:sz w:val="22"/>
          <w:szCs w:val="22"/>
        </w:rPr>
        <w:t xml:space="preserve">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48C29734" w14:textId="583B9384"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F904EF">
        <w:rPr>
          <w:rFonts w:asciiTheme="minorHAnsi" w:hAnsiTheme="minorHAnsi" w:cstheme="minorHAnsi"/>
          <w:color w:val="000000"/>
          <w:sz w:val="22"/>
          <w:szCs w:val="22"/>
          <w:lang w:val="en-US"/>
        </w:rPr>
        <w:t>8</w:t>
      </w:r>
      <w:r w:rsidR="00B9022D" w:rsidRPr="007F7236">
        <w:rPr>
          <w:rFonts w:asciiTheme="minorHAnsi" w:hAnsiTheme="minorHAnsi" w:cstheme="minorHAnsi"/>
          <w:color w:val="000000"/>
          <w:sz w:val="22"/>
          <w:szCs w:val="22"/>
        </w:rPr>
        <w:t xml:space="preserve"> ar daugiau procentų arba metinė defliacija pasiekia -</w:t>
      </w:r>
      <w:r w:rsidR="00F904EF">
        <w:rPr>
          <w:rFonts w:asciiTheme="minorHAnsi" w:hAnsiTheme="minorHAnsi" w:cstheme="minorHAnsi"/>
          <w:color w:val="000000"/>
          <w:sz w:val="22"/>
          <w:szCs w:val="22"/>
        </w:rPr>
        <w:t>8</w:t>
      </w:r>
      <w:r w:rsidR="00B9022D" w:rsidRPr="007F7236">
        <w:rPr>
          <w:rFonts w:asciiTheme="minorHAnsi" w:hAnsiTheme="minorHAnsi" w:cstheme="minorHAnsi"/>
          <w:color w:val="000000"/>
          <w:sz w:val="22"/>
          <w:szCs w:val="22"/>
        </w:rPr>
        <w:t xml:space="preserve">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6C2F7802"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741BE7E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6D9D4B08"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6546D50"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2FF27632"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Cpn = Sn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03AD37BB"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Cpn</w:t>
      </w:r>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273FB310"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Sn</w:t>
      </w:r>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51C53425"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156E4649" w14:textId="1AF5228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w:t>
      </w:r>
      <w:r w:rsidR="00F904EF">
        <w:rPr>
          <w:rFonts w:asciiTheme="minorHAnsi" w:eastAsia="Times New Roman" w:hAnsiTheme="minorHAnsi" w:cstheme="minorHAnsi"/>
          <w:sz w:val="22"/>
          <w:szCs w:val="22"/>
        </w:rPr>
        <w:t>8</w:t>
      </w:r>
      <w:r w:rsidRPr="007F7236">
        <w:rPr>
          <w:rFonts w:asciiTheme="minorHAnsi" w:eastAsia="Times New Roman" w:hAnsiTheme="minorHAnsi" w:cstheme="minorHAnsi"/>
          <w:sz w:val="22"/>
          <w:szCs w:val="22"/>
        </w:rPr>
        <w:t>)</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F904EF">
        <w:rPr>
          <w:rFonts w:asciiTheme="minorHAnsi" w:eastAsia="Times New Roman" w:hAnsiTheme="minorHAnsi" w:cstheme="minorHAnsi"/>
          <w:sz w:val="22"/>
          <w:szCs w:val="22"/>
          <w:lang w:val="en-US"/>
        </w:rPr>
        <w:t>8</w:t>
      </w:r>
      <w:r w:rsidR="007F7236">
        <w:rPr>
          <w:rFonts w:asciiTheme="minorHAnsi" w:eastAsia="Times New Roman" w:hAnsiTheme="minorHAnsi" w:cstheme="minorHAnsi"/>
          <w:sz w:val="22"/>
          <w:szCs w:val="22"/>
        </w:rPr>
        <w:t>)</w:t>
      </w:r>
      <w:r w:rsidRPr="007F7236">
        <w:rPr>
          <w:rFonts w:asciiTheme="minorHAnsi" w:eastAsia="Times New Roman" w:hAnsiTheme="minorHAnsi" w:cstheme="minorHAnsi"/>
          <w:sz w:val="22"/>
          <w:szCs w:val="22"/>
        </w:rPr>
        <w:t>.</w:t>
      </w:r>
    </w:p>
    <w:p w14:paraId="428B2600"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6F3DB2C7"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2"/>
    </w:p>
    <w:p w14:paraId="2D0061E6"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02B873B9"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793C3866" w14:textId="305D4023"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w:t>
      </w:r>
      <w:r w:rsidR="00DB0B1F">
        <w:rPr>
          <w:rFonts w:asciiTheme="minorHAnsi" w:hAnsiTheme="minorHAnsi" w:cstheme="minorHAnsi"/>
          <w:bCs/>
          <w:sz w:val="22"/>
          <w:szCs w:val="22"/>
        </w:rPr>
        <w:t>Į</w:t>
      </w:r>
      <w:r w:rsidR="00DB0B1F" w:rsidRPr="00DB0B1F">
        <w:rPr>
          <w:rFonts w:asciiTheme="minorHAnsi" w:hAnsiTheme="minorHAnsi" w:cstheme="minorHAnsi"/>
          <w:bCs/>
          <w:sz w:val="22"/>
          <w:szCs w:val="22"/>
        </w:rPr>
        <w:t>statymo 22 str</w:t>
      </w:r>
      <w:r w:rsidR="00DB0B1F">
        <w:rPr>
          <w:rFonts w:asciiTheme="minorHAnsi" w:hAnsiTheme="minorHAnsi" w:cstheme="minorHAnsi"/>
          <w:bCs/>
          <w:sz w:val="22"/>
          <w:szCs w:val="22"/>
        </w:rPr>
        <w:t>aipsnio</w:t>
      </w:r>
      <w:r w:rsidR="00DB0B1F" w:rsidRPr="00DB0B1F">
        <w:rPr>
          <w:rFonts w:asciiTheme="minorHAnsi" w:hAnsiTheme="minorHAnsi" w:cstheme="minorHAnsi"/>
          <w:bCs/>
          <w:sz w:val="22"/>
          <w:szCs w:val="22"/>
        </w:rPr>
        <w:t xml:space="preserve"> 3 dalyje nustatyta tvarka</w:t>
      </w:r>
      <w:r w:rsidRPr="007F7236">
        <w:rPr>
          <w:rFonts w:asciiTheme="minorHAnsi" w:hAnsiTheme="minorHAnsi" w:cstheme="minorHAnsi"/>
          <w:bCs/>
          <w:sz w:val="22"/>
          <w:szCs w:val="22"/>
        </w:rPr>
        <w:t xml:space="preserve">. </w:t>
      </w:r>
    </w:p>
    <w:p w14:paraId="164CAA1B" w14:textId="77777777" w:rsidR="000A4F25" w:rsidRPr="00F704D8" w:rsidRDefault="000A4F25" w:rsidP="000A4F25">
      <w:pPr>
        <w:pStyle w:val="ListParagraph"/>
        <w:ind w:left="0"/>
        <w:rPr>
          <w:rFonts w:asciiTheme="minorHAnsi" w:hAnsiTheme="minorHAnsi"/>
          <w:color w:val="000000" w:themeColor="text1"/>
          <w:sz w:val="22"/>
          <w:szCs w:val="22"/>
        </w:rPr>
      </w:pPr>
    </w:p>
    <w:p w14:paraId="16267A65"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t xml:space="preserve">ATNAUJINTO VARŽYMOSI PROCEDŪRA </w:t>
      </w:r>
    </w:p>
    <w:p w14:paraId="5D322B17" w14:textId="77777777" w:rsidR="006E502C" w:rsidRDefault="006E502C" w:rsidP="006E502C">
      <w:pPr>
        <w:pStyle w:val="ListParagraph"/>
        <w:tabs>
          <w:tab w:val="left" w:pos="284"/>
        </w:tabs>
        <w:spacing w:after="60"/>
        <w:ind w:left="360"/>
        <w:rPr>
          <w:rFonts w:asciiTheme="minorHAnsi" w:hAnsiTheme="minorHAnsi"/>
          <w:b/>
          <w:sz w:val="22"/>
          <w:szCs w:val="22"/>
        </w:rPr>
      </w:pPr>
    </w:p>
    <w:p w14:paraId="68ABE63F"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25ACF760"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lastRenderedPageBreak/>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779AD458"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w:t>
      </w:r>
      <w:r w:rsidRPr="001E24C2">
        <w:rPr>
          <w:rFonts w:asciiTheme="minorHAnsi" w:hAnsiTheme="minorHAnsi"/>
          <w:sz w:val="22"/>
          <w:szCs w:val="22"/>
        </w:rPr>
        <w:t xml:space="preserve">Pirkėjas raštu </w:t>
      </w:r>
      <w:r w:rsidR="000F41DC" w:rsidRPr="001E24C2">
        <w:rPr>
          <w:rFonts w:asciiTheme="minorHAnsi" w:hAnsiTheme="minorHAnsi"/>
          <w:bCs/>
          <w:sz w:val="22"/>
          <w:szCs w:val="22"/>
        </w:rPr>
        <w:t xml:space="preserve">(CVP IS) </w:t>
      </w:r>
      <w:r w:rsidRPr="001E24C2">
        <w:rPr>
          <w:rFonts w:asciiTheme="minorHAnsi" w:hAnsiTheme="minorHAnsi"/>
          <w:sz w:val="22"/>
          <w:szCs w:val="22"/>
        </w:rPr>
        <w:t>kreipiasi</w:t>
      </w:r>
      <w:r w:rsidRPr="00312593">
        <w:rPr>
          <w:rFonts w:asciiTheme="minorHAnsi" w:hAnsiTheme="minorHAnsi"/>
          <w:sz w:val="22"/>
          <w:szCs w:val="22"/>
        </w:rPr>
        <w:t xml:space="preserve">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09D13633"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3A18EA51"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68E1EA35"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3DE2E9B7"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452CF1FD"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684C4EF3"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527DAA86"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3A03C640" w14:textId="148BDA3F"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sidR="00F04FAA">
        <w:rPr>
          <w:rFonts w:asciiTheme="minorHAnsi" w:hAnsiTheme="minorHAnsi"/>
          <w:sz w:val="22"/>
          <w:szCs w:val="22"/>
          <w:lang w:val="en-US"/>
        </w:rPr>
        <w:t xml:space="preserve">10 </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3DD94A7C"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540B4A97"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50397100"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46B0E74A"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0BA5D701"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74360206"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56F89704"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19C65197" w14:textId="77777777" w:rsidR="00312593" w:rsidRPr="00312593" w:rsidRDefault="00312593" w:rsidP="00312593">
      <w:pPr>
        <w:pStyle w:val="ListParagraph"/>
        <w:tabs>
          <w:tab w:val="left" w:pos="284"/>
        </w:tabs>
        <w:spacing w:after="60"/>
        <w:ind w:left="360"/>
        <w:rPr>
          <w:rFonts w:asciiTheme="minorHAnsi" w:hAnsiTheme="minorHAnsi"/>
          <w:sz w:val="22"/>
          <w:szCs w:val="22"/>
        </w:rPr>
      </w:pPr>
    </w:p>
    <w:p w14:paraId="6834DF3A"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4F6497F3"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612623FC"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0F3F6B2B"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lastRenderedPageBreak/>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0EFF0453"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6855A45D"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388F772D"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72DBC8B2"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74AF3C36"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01A5E50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544FBEF7"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125DF4E2"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3988374D"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9BE5D77"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7146590"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44891C28"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5B09F203"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279641DF"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4A69C74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570DC7C7"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46B5FBDA"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4E8BBCE0" w14:textId="77777777" w:rsidR="000A4F25" w:rsidRPr="00BF2AD8" w:rsidRDefault="000A4F25" w:rsidP="000A4F25">
      <w:pPr>
        <w:pStyle w:val="ListParagraph"/>
        <w:tabs>
          <w:tab w:val="left" w:pos="709"/>
        </w:tabs>
        <w:spacing w:before="60" w:after="60"/>
        <w:ind w:left="0"/>
        <w:jc w:val="both"/>
        <w:rPr>
          <w:rFonts w:asciiTheme="minorHAnsi" w:hAnsiTheme="minorHAnsi"/>
          <w:iCs/>
          <w:sz w:val="22"/>
          <w:szCs w:val="22"/>
        </w:rPr>
      </w:pPr>
    </w:p>
    <w:p w14:paraId="61D9BFAE"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799B5C09"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5826BFB4"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61952EBC"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32ED40A"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2689532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7D470E79"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2A0330F8"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rekių kainos dydžio delspinigi</w:t>
      </w:r>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577A5B0E"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492B54" w:rsidRPr="00B14989">
        <w:rPr>
          <w:rFonts w:asciiTheme="minorHAnsi" w:hAnsiTheme="minorHAnsi"/>
          <w:sz w:val="22"/>
          <w:szCs w:val="22"/>
        </w:rPr>
        <w:t>.</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0C041470"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1390B2D4"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312933F3"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14BACF51"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5DB00854" w14:textId="77777777" w:rsidR="006E502C" w:rsidRPr="00756E1D" w:rsidRDefault="006E502C" w:rsidP="006E502C">
      <w:pPr>
        <w:pStyle w:val="ListParagraph"/>
        <w:tabs>
          <w:tab w:val="left" w:pos="-284"/>
          <w:tab w:val="left" w:pos="426"/>
        </w:tabs>
        <w:ind w:left="0"/>
        <w:rPr>
          <w:rFonts w:asciiTheme="minorHAnsi" w:eastAsiaTheme="minorHAnsi" w:hAnsiTheme="minorHAnsi"/>
          <w:sz w:val="22"/>
          <w:szCs w:val="22"/>
        </w:rPr>
      </w:pPr>
    </w:p>
    <w:p w14:paraId="453C574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36EE2E8B"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A7C50D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3E36AA8A"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23946D3"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7A5EEC8F"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26A616F9" w14:textId="77777777" w:rsidR="000A4F25" w:rsidRPr="00BF2AD8" w:rsidRDefault="000A4F25" w:rsidP="000A4F25">
      <w:pPr>
        <w:tabs>
          <w:tab w:val="left" w:pos="-284"/>
        </w:tabs>
        <w:contextualSpacing/>
        <w:rPr>
          <w:rFonts w:asciiTheme="minorHAnsi" w:eastAsiaTheme="minorHAnsi" w:hAnsiTheme="minorHAnsi"/>
          <w:sz w:val="22"/>
          <w:szCs w:val="22"/>
        </w:rPr>
      </w:pPr>
    </w:p>
    <w:p w14:paraId="4CCC0D06"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4B1C6C5B" w14:textId="77777777" w:rsidR="006E502C" w:rsidRPr="006E502C" w:rsidRDefault="006E502C" w:rsidP="006E502C"/>
    <w:p w14:paraId="1C75BC59" w14:textId="77777777"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Pr="00BF2AD8">
        <w:rPr>
          <w:rFonts w:asciiTheme="minorHAnsi" w:hAnsiTheme="minorHAnsi"/>
          <w:sz w:val="22"/>
          <w:szCs w:val="22"/>
        </w:rPr>
        <w:t xml:space="preserve">nuo jos pasirašymo dienos ir </w:t>
      </w:r>
      <w:r w:rsidRPr="007B0FCC">
        <w:rPr>
          <w:rFonts w:asciiTheme="minorHAnsi" w:hAnsiTheme="minorHAnsi"/>
          <w:color w:val="000000" w:themeColor="text1"/>
          <w:sz w:val="22"/>
          <w:szCs w:val="22"/>
        </w:rPr>
        <w:t>galioja 36 mėnesius.</w:t>
      </w:r>
      <w:r w:rsidRPr="00BF2AD8">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4C7B26" w:rsidRPr="004C7B26">
        <w:rPr>
          <w:rFonts w:asciiTheme="minorHAnsi" w:hAnsiTheme="minorHAnsi"/>
          <w:color w:val="000000" w:themeColor="text1"/>
          <w:sz w:val="22"/>
          <w:szCs w:val="22"/>
        </w:rPr>
        <w:t xml:space="preserve">pasirašymo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punkte, priklausomai nuo to, kuri aplinkybė atsiranda anksčiau</w:t>
      </w:r>
      <w:r w:rsidR="007B0FCC">
        <w:rPr>
          <w:rFonts w:asciiTheme="minorHAnsi" w:hAnsiTheme="minorHAnsi"/>
          <w:color w:val="000000" w:themeColor="text1"/>
          <w:sz w:val="22"/>
          <w:szCs w:val="22"/>
        </w:rPr>
        <w:t>.</w:t>
      </w:r>
    </w:p>
    <w:p w14:paraId="6BC75B46"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5A058E6E"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2235F17F"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0A7E5F52"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2D1B7986"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1211CE04"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50193C1B"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lastRenderedPageBreak/>
        <w:t>Užsakymas;</w:t>
      </w:r>
    </w:p>
    <w:p w14:paraId="7323AAAD"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Atnaujintas Pasiūlymas;</w:t>
      </w:r>
    </w:p>
    <w:p w14:paraId="3A57AB01"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50481E7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79C520DA"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1A8A4DCC"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46D755AA"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4DFE2A55" w14:textId="77777777" w:rsidR="000A4F25" w:rsidRPr="00BF2AD8" w:rsidRDefault="000A4F25" w:rsidP="000A4F25">
      <w:pPr>
        <w:pStyle w:val="ListParagraph"/>
        <w:ind w:left="0"/>
        <w:jc w:val="both"/>
        <w:rPr>
          <w:rFonts w:asciiTheme="minorHAnsi" w:hAnsiTheme="minorHAnsi"/>
          <w:b/>
          <w:sz w:val="22"/>
          <w:szCs w:val="22"/>
        </w:rPr>
      </w:pPr>
    </w:p>
    <w:p w14:paraId="2AAAD4F9"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76B922FB"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377FDECF"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F938D21"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3" w:name="_Hlk522537728"/>
      <w:r w:rsidRPr="00BF2AD8">
        <w:rPr>
          <w:rFonts w:asciiTheme="minorHAnsi" w:hAnsiTheme="minorHAnsi"/>
          <w:sz w:val="22"/>
          <w:szCs w:val="22"/>
        </w:rPr>
        <w:t>Preliminarią sutartį</w:t>
      </w:r>
      <w:bookmarkEnd w:id="3"/>
      <w:r w:rsidRPr="00BF2AD8">
        <w:rPr>
          <w:rFonts w:asciiTheme="minorHAnsi" w:hAnsiTheme="minorHAnsi"/>
          <w:sz w:val="22"/>
          <w:szCs w:val="22"/>
        </w:rPr>
        <w:t>, pranešus apie tai kitai Šaliai ne vėliau kaip prieš 30 (trisdešimt) kalendorinių dienų.</w:t>
      </w:r>
    </w:p>
    <w:p w14:paraId="1A9A145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240B0FEB"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576E7AB1"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4465CDB7" w14:textId="6820BC62"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 xml:space="preserve">ir (ar) Pirkėjo </w:t>
      </w:r>
      <w:r w:rsidR="00654C3F" w:rsidRPr="00654C3F">
        <w:rPr>
          <w:rFonts w:asciiTheme="minorHAnsi" w:hAnsiTheme="minorHAnsi"/>
          <w:bCs/>
          <w:sz w:val="22"/>
          <w:szCs w:val="22"/>
        </w:rPr>
        <w:t xml:space="preserve">Antikorupcinėje politikoje </w:t>
      </w:r>
      <w:r w:rsidR="0073190E" w:rsidRPr="0073190E">
        <w:rPr>
          <w:rFonts w:asciiTheme="minorHAnsi" w:hAnsiTheme="minorHAnsi"/>
          <w:bCs/>
          <w:sz w:val="22"/>
          <w:szCs w:val="22"/>
        </w:rPr>
        <w:t>ir Veiklos partnerių etikos kodekse nurodytų priežasčių</w:t>
      </w:r>
      <w:r w:rsidR="000A4F25" w:rsidRPr="00BF2AD8">
        <w:rPr>
          <w:rFonts w:asciiTheme="minorHAnsi" w:hAnsiTheme="minorHAnsi"/>
          <w:bCs/>
          <w:sz w:val="22"/>
          <w:szCs w:val="22"/>
        </w:rPr>
        <w:t>.</w:t>
      </w:r>
    </w:p>
    <w:p w14:paraId="1091B129"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404636E7"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60B520EB"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1FBCD1E2"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29CC7DE8"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2506E69A" w14:textId="77777777"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14C97A1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105C82AB"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480D9F3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mutatis mutandis </w:t>
      </w:r>
      <w:r w:rsidRPr="00BF2AD8">
        <w:rPr>
          <w:rFonts w:asciiTheme="minorHAnsi" w:hAnsiTheme="minorHAnsi"/>
          <w:sz w:val="22"/>
          <w:szCs w:val="22"/>
        </w:rPr>
        <w:t xml:space="preserve">taikomos visos šio skyriaus nuostatos, nustatančios Preliminariosios sutarties nutraukimo tvarką. </w:t>
      </w:r>
    </w:p>
    <w:p w14:paraId="4DA179DD" w14:textId="77777777" w:rsidR="000A4F25" w:rsidRPr="00BF2AD8" w:rsidRDefault="000A4F25" w:rsidP="000A4F25">
      <w:pPr>
        <w:ind w:right="1"/>
        <w:rPr>
          <w:rFonts w:asciiTheme="minorHAnsi" w:hAnsiTheme="minorHAnsi"/>
          <w:sz w:val="22"/>
          <w:szCs w:val="22"/>
        </w:rPr>
      </w:pPr>
    </w:p>
    <w:p w14:paraId="46CCE34F"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3D39273D" w14:textId="77777777" w:rsidR="006E502C" w:rsidRPr="006E502C" w:rsidRDefault="006E502C" w:rsidP="006E502C"/>
    <w:p w14:paraId="54A32B52"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 xml:space="preserve">utarties galiojimo </w:t>
      </w:r>
      <w:r w:rsidR="000A4F25" w:rsidRPr="00BF2AD8">
        <w:rPr>
          <w:rFonts w:asciiTheme="minorHAnsi" w:hAnsiTheme="minorHAnsi"/>
          <w:sz w:val="22"/>
          <w:szCs w:val="22"/>
        </w:rPr>
        <w:lastRenderedPageBreak/>
        <w:t>laikotarpiu tapo viešai žinoma arba teisėtu pagrindu jau yra žinoma Tiekėjui arba be apribojimų atskleista trečiajam asmeniui trečiojo asmens arba turi būti atskleista pagal galiojančių teisės aktų reikalavimus.</w:t>
      </w:r>
    </w:p>
    <w:p w14:paraId="12C1D2AA" w14:textId="77777777" w:rsidR="000A4F25" w:rsidRPr="00BF2AD8" w:rsidRDefault="000A4F25" w:rsidP="000A4F25">
      <w:pPr>
        <w:rPr>
          <w:rFonts w:asciiTheme="minorHAnsi" w:hAnsiTheme="minorHAnsi"/>
          <w:sz w:val="22"/>
          <w:szCs w:val="22"/>
        </w:rPr>
      </w:pPr>
    </w:p>
    <w:p w14:paraId="30BB907C"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26A2BEE3" w14:textId="77777777" w:rsidR="006E502C" w:rsidRPr="006E502C" w:rsidRDefault="006E502C" w:rsidP="006E502C"/>
    <w:p w14:paraId="2CE7041B"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35954E09"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3BDF7B06"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077F6129" w14:textId="75CC0078"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r w:rsidR="00CD2514">
        <w:rPr>
          <w:rFonts w:asciiTheme="minorHAnsi" w:hAnsiTheme="minorHAnsi"/>
          <w:sz w:val="22"/>
          <w:szCs w:val="22"/>
        </w:rPr>
        <w:t xml:space="preserve"> </w:t>
      </w:r>
      <w:r w:rsidR="00CD2514" w:rsidRPr="00CD2514">
        <w:rPr>
          <w:rFonts w:asciiTheme="minorHAnsi" w:hAnsiTheme="minorHAnsi"/>
          <w:sz w:val="22"/>
          <w:szCs w:val="22"/>
        </w:rPr>
        <w:t>(kai Preliminarioji sutartis sudaroma popierine forma). Tuo atveju, kai Preliminarioji sutartis pasirašoma Šalių įgaliotų atstovų kvalifikuotais elektroniniais parašais, pasirašomas vienas egzempliorius</w:t>
      </w:r>
      <w:r w:rsidR="00CD2514">
        <w:rPr>
          <w:rFonts w:asciiTheme="minorHAnsi" w:hAnsiTheme="minorHAnsi"/>
          <w:sz w:val="22"/>
          <w:szCs w:val="22"/>
        </w:rPr>
        <w:t>.</w:t>
      </w:r>
    </w:p>
    <w:p w14:paraId="3CBF1C6A"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0AB1E308" w14:textId="144C4A22" w:rsidR="000A4F25" w:rsidRPr="00DD13B0" w:rsidRDefault="000A4F25" w:rsidP="0056651A">
      <w:pPr>
        <w:pStyle w:val="ListParagraph"/>
        <w:numPr>
          <w:ilvl w:val="2"/>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 xml:space="preserve">Pirkėjo atstovas </w:t>
      </w:r>
      <w:r w:rsidRPr="00DD13B0">
        <w:rPr>
          <w:rFonts w:asciiTheme="minorHAnsi" w:eastAsia="Arial Unicode MS" w:hAnsiTheme="minorHAnsi"/>
          <w:color w:val="000000"/>
          <w:sz w:val="22"/>
          <w:szCs w:val="22"/>
        </w:rPr>
        <w:t xml:space="preserve">– </w:t>
      </w:r>
      <w:r w:rsidR="00284655" w:rsidRPr="00B11061">
        <w:rPr>
          <w:rFonts w:asciiTheme="minorHAnsi" w:hAnsiTheme="minorHAnsi" w:cstheme="minorHAnsi"/>
          <w:sz w:val="22"/>
          <w:szCs w:val="22"/>
        </w:rPr>
        <w:t>Vidas Strakšys, tel. +370 686 57584, el. pašt</w:t>
      </w:r>
      <w:r w:rsidR="00284655">
        <w:rPr>
          <w:rFonts w:asciiTheme="minorHAnsi" w:hAnsiTheme="minorHAnsi" w:cstheme="minorHAnsi"/>
          <w:sz w:val="22"/>
          <w:szCs w:val="22"/>
        </w:rPr>
        <w:t>as</w:t>
      </w:r>
      <w:r w:rsidR="00284655" w:rsidRPr="00B11061">
        <w:rPr>
          <w:rFonts w:asciiTheme="minorHAnsi" w:hAnsiTheme="minorHAnsi" w:cstheme="minorHAnsi"/>
          <w:sz w:val="22"/>
          <w:szCs w:val="22"/>
        </w:rPr>
        <w:t xml:space="preserve"> </w:t>
      </w:r>
      <w:r w:rsidR="00284655" w:rsidRPr="00284655">
        <w:rPr>
          <w:rFonts w:asciiTheme="minorHAnsi" w:hAnsiTheme="minorHAnsi" w:cstheme="minorHAnsi"/>
          <w:color w:val="2E74B5" w:themeColor="accent1" w:themeShade="BF"/>
          <w:sz w:val="22"/>
          <w:szCs w:val="22"/>
          <w:u w:val="single"/>
        </w:rPr>
        <w:t>straksys.v@ans.lt</w:t>
      </w:r>
      <w:r w:rsidR="00284655">
        <w:rPr>
          <w:rFonts w:asciiTheme="minorHAnsi" w:hAnsiTheme="minorHAnsi" w:cstheme="minorHAnsi"/>
          <w:sz w:val="22"/>
          <w:szCs w:val="22"/>
        </w:rPr>
        <w:t>.</w:t>
      </w:r>
      <w:r w:rsidR="00284655" w:rsidRPr="0037616D">
        <w:rPr>
          <w:rFonts w:asciiTheme="minorHAnsi" w:eastAsia="Arial Unicode MS" w:hAnsiTheme="minorHAnsi"/>
          <w:color w:val="000000"/>
          <w:sz w:val="22"/>
          <w:szCs w:val="22"/>
          <w:shd w:val="clear" w:color="auto" w:fill="D9D9D9" w:themeFill="background1" w:themeFillShade="D9"/>
        </w:rPr>
        <w:t xml:space="preserve"> </w:t>
      </w:r>
    </w:p>
    <w:p w14:paraId="655F592F" w14:textId="0EE78626" w:rsidR="000A4F25" w:rsidRPr="0033118E" w:rsidRDefault="000A4F25" w:rsidP="0056651A">
      <w:pPr>
        <w:pStyle w:val="ListParagraph"/>
        <w:numPr>
          <w:ilvl w:val="2"/>
          <w:numId w:val="8"/>
        </w:numPr>
        <w:tabs>
          <w:tab w:val="left" w:pos="0"/>
          <w:tab w:val="left" w:pos="426"/>
          <w:tab w:val="left" w:pos="567"/>
        </w:tabs>
        <w:jc w:val="both"/>
        <w:rPr>
          <w:rFonts w:asciiTheme="minorHAnsi" w:hAnsiTheme="minorHAnsi"/>
          <w:sz w:val="22"/>
          <w:szCs w:val="22"/>
        </w:rPr>
      </w:pPr>
      <w:r w:rsidRPr="00DD13B0">
        <w:rPr>
          <w:rFonts w:asciiTheme="minorHAnsi" w:eastAsia="Arial Unicode MS" w:hAnsiTheme="minorHAnsi"/>
          <w:color w:val="000000"/>
          <w:sz w:val="22"/>
          <w:szCs w:val="22"/>
        </w:rPr>
        <w:t>Tiekėjo atstovas –</w:t>
      </w:r>
      <w:r w:rsidR="00BA49F1">
        <w:rPr>
          <w:rFonts w:asciiTheme="minorHAnsi" w:eastAsia="Arial Unicode MS" w:hAnsiTheme="minorHAnsi"/>
          <w:color w:val="000000"/>
          <w:sz w:val="22"/>
          <w:szCs w:val="22"/>
        </w:rPr>
        <w:t xml:space="preserve"> Jonas Gumonis</w:t>
      </w:r>
      <w:r w:rsidR="00DD13B0" w:rsidRPr="00DD13B0">
        <w:rPr>
          <w:rFonts w:asciiTheme="minorHAnsi" w:eastAsia="Arial Unicode MS" w:hAnsiTheme="minorHAnsi"/>
          <w:color w:val="000000"/>
          <w:sz w:val="22"/>
          <w:szCs w:val="22"/>
        </w:rPr>
        <w:t>, tel.</w:t>
      </w:r>
      <w:r w:rsidR="00BA49F1">
        <w:rPr>
          <w:rFonts w:asciiTheme="minorHAnsi" w:eastAsia="Arial Unicode MS" w:hAnsiTheme="minorHAnsi"/>
          <w:color w:val="000000"/>
          <w:sz w:val="22"/>
          <w:szCs w:val="22"/>
        </w:rPr>
        <w:t xml:space="preserve"> </w:t>
      </w:r>
      <w:r w:rsidR="00BA49F1">
        <w:rPr>
          <w:rFonts w:asciiTheme="minorHAnsi" w:eastAsia="Arial Unicode MS" w:hAnsiTheme="minorHAnsi"/>
          <w:color w:val="000000"/>
          <w:sz w:val="22"/>
          <w:szCs w:val="22"/>
          <w:lang w:val="en-US"/>
        </w:rPr>
        <w:t>+370 661 98661</w:t>
      </w:r>
      <w:r w:rsidR="00DD13B0" w:rsidRPr="00DD13B0">
        <w:rPr>
          <w:rFonts w:asciiTheme="minorHAnsi" w:eastAsia="Arial Unicode MS" w:hAnsiTheme="minorHAnsi"/>
          <w:color w:val="000000"/>
          <w:sz w:val="22"/>
          <w:szCs w:val="22"/>
        </w:rPr>
        <w:t>, el. paštas</w:t>
      </w:r>
      <w:r w:rsidR="00BA49F1">
        <w:rPr>
          <w:rFonts w:asciiTheme="minorHAnsi" w:eastAsia="Arial Unicode MS" w:hAnsiTheme="minorHAnsi"/>
          <w:color w:val="000000"/>
          <w:sz w:val="22"/>
          <w:szCs w:val="22"/>
        </w:rPr>
        <w:t xml:space="preserve"> </w:t>
      </w:r>
      <w:r w:rsidR="00BA49F1" w:rsidRPr="00BA49F1">
        <w:rPr>
          <w:rFonts w:asciiTheme="minorHAnsi" w:eastAsia="Arial Unicode MS" w:hAnsiTheme="minorHAnsi"/>
          <w:color w:val="2E74B5" w:themeColor="accent1" w:themeShade="BF"/>
          <w:sz w:val="22"/>
          <w:szCs w:val="22"/>
          <w:u w:val="single"/>
        </w:rPr>
        <w:t>Jonas.Gumonis@elektrobalt.lt</w:t>
      </w:r>
      <w:r w:rsidR="00DD13B0" w:rsidRPr="00DD13B0">
        <w:rPr>
          <w:rFonts w:asciiTheme="minorHAnsi" w:eastAsia="Arial Unicode MS" w:hAnsiTheme="minorHAnsi"/>
          <w:color w:val="000000"/>
          <w:sz w:val="22"/>
          <w:szCs w:val="22"/>
        </w:rPr>
        <w:t>.</w:t>
      </w:r>
    </w:p>
    <w:p w14:paraId="15ED5185" w14:textId="77777777" w:rsidR="0033118E" w:rsidRPr="006E502C" w:rsidRDefault="0033118E" w:rsidP="0033118E">
      <w:pPr>
        <w:pStyle w:val="ListParagraph"/>
        <w:tabs>
          <w:tab w:val="left" w:pos="0"/>
          <w:tab w:val="left" w:pos="426"/>
          <w:tab w:val="left" w:pos="567"/>
        </w:tabs>
        <w:jc w:val="both"/>
        <w:rPr>
          <w:rFonts w:asciiTheme="minorHAnsi" w:hAnsiTheme="minorHAnsi"/>
          <w:sz w:val="22"/>
          <w:szCs w:val="22"/>
        </w:rPr>
      </w:pPr>
    </w:p>
    <w:p w14:paraId="29131329" w14:textId="0253FF39" w:rsidR="000A4F25" w:rsidRDefault="000A4F25" w:rsidP="001E24C2">
      <w:pPr>
        <w:pStyle w:val="ListParagraph"/>
        <w:numPr>
          <w:ilvl w:val="0"/>
          <w:numId w:val="8"/>
        </w:numPr>
        <w:tabs>
          <w:tab w:val="left" w:pos="567"/>
        </w:tabs>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6B72DF15" w14:textId="77777777" w:rsidR="001E24C2" w:rsidRDefault="001E24C2" w:rsidP="001E24C2">
      <w:pPr>
        <w:pStyle w:val="ListParagraph"/>
        <w:tabs>
          <w:tab w:val="left" w:pos="567"/>
        </w:tabs>
        <w:ind w:left="0"/>
        <w:rPr>
          <w:rFonts w:asciiTheme="minorHAnsi" w:hAnsiTheme="minorHAnsi"/>
          <w:b/>
          <w:sz w:val="22"/>
          <w:szCs w:val="22"/>
        </w:rPr>
      </w:pPr>
    </w:p>
    <w:p w14:paraId="4376BDF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3D62BE2B"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02640C1"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268EEA61"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53C262E7"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635925B0" w14:textId="77777777" w:rsidR="000A4F25" w:rsidRPr="00BF2AD8" w:rsidRDefault="000A4F25" w:rsidP="000A4F25">
      <w:pPr>
        <w:pStyle w:val="BodyTextIndent"/>
        <w:ind w:firstLine="0"/>
        <w:rPr>
          <w:rFonts w:asciiTheme="minorHAnsi" w:hAnsiTheme="minorHAnsi"/>
          <w:sz w:val="22"/>
          <w:szCs w:val="22"/>
        </w:rPr>
      </w:pPr>
    </w:p>
    <w:p w14:paraId="6E07AEBF"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37C7BF1D"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5102"/>
        <w:gridCol w:w="4536"/>
      </w:tblGrid>
      <w:tr w:rsidR="000A4F25" w:rsidRPr="00BF2AD8" w14:paraId="3C3FCC9C" w14:textId="77777777" w:rsidTr="00654C3F">
        <w:trPr>
          <w:trHeight w:val="289"/>
        </w:trPr>
        <w:tc>
          <w:tcPr>
            <w:tcW w:w="2647" w:type="pct"/>
          </w:tcPr>
          <w:p w14:paraId="04FB7A67"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353" w:type="pct"/>
          </w:tcPr>
          <w:p w14:paraId="3E93841B" w14:textId="77777777" w:rsidR="000A4F25" w:rsidRPr="00BF2AD8" w:rsidRDefault="000A4F25" w:rsidP="00C747EE">
            <w:pPr>
              <w:rPr>
                <w:rFonts w:asciiTheme="minorHAnsi" w:hAnsiTheme="minorHAnsi"/>
                <w:b/>
                <w:sz w:val="22"/>
                <w:szCs w:val="22"/>
              </w:rPr>
            </w:pPr>
            <w:r w:rsidRPr="00BF2AD8">
              <w:rPr>
                <w:rFonts w:asciiTheme="minorHAnsi" w:hAnsiTheme="minorHAnsi"/>
                <w:b/>
                <w:sz w:val="22"/>
                <w:szCs w:val="22"/>
              </w:rPr>
              <w:t>Tiekėjas</w:t>
            </w:r>
          </w:p>
        </w:tc>
      </w:tr>
      <w:tr w:rsidR="000A4F25" w:rsidRPr="00BF2AD8" w14:paraId="343CEFCE" w14:textId="77777777" w:rsidTr="00654C3F">
        <w:trPr>
          <w:trHeight w:val="2184"/>
        </w:trPr>
        <w:tc>
          <w:tcPr>
            <w:tcW w:w="2647" w:type="pct"/>
          </w:tcPr>
          <w:p w14:paraId="76995D7A" w14:textId="72A12008" w:rsidR="000A4F25" w:rsidRPr="00BF2AD8" w:rsidRDefault="00F91762" w:rsidP="00C747EE">
            <w:pPr>
              <w:rPr>
                <w:rFonts w:asciiTheme="minorHAnsi" w:hAnsiTheme="minorHAnsi"/>
                <w:sz w:val="22"/>
                <w:szCs w:val="22"/>
              </w:rPr>
            </w:pPr>
            <w:r>
              <w:rPr>
                <w:rFonts w:asciiTheme="minorHAnsi" w:hAnsiTheme="minorHAnsi"/>
                <w:sz w:val="22"/>
                <w:szCs w:val="22"/>
              </w:rPr>
              <w:t>Akcinė bendrov</w:t>
            </w:r>
            <w:r w:rsidR="000A4F25" w:rsidRPr="00BF2AD8">
              <w:rPr>
                <w:rFonts w:asciiTheme="minorHAnsi" w:hAnsiTheme="minorHAnsi"/>
                <w:sz w:val="22"/>
                <w:szCs w:val="22"/>
              </w:rPr>
              <w:t>ė “Oro navigacija”</w:t>
            </w:r>
          </w:p>
          <w:p w14:paraId="74A4053B"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369A8A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177746F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55EA2BB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39C48A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6D9CE0F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366F9F4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0"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353" w:type="pct"/>
          </w:tcPr>
          <w:p w14:paraId="0950B537" w14:textId="5A8F6CE0" w:rsidR="00284655" w:rsidRDefault="00284655" w:rsidP="00284655">
            <w:pPr>
              <w:widowControl w:val="0"/>
              <w:tabs>
                <w:tab w:val="left" w:pos="4848"/>
              </w:tabs>
              <w:autoSpaceDE w:val="0"/>
              <w:autoSpaceDN w:val="0"/>
              <w:adjustRightInd w:val="0"/>
              <w:contextualSpacing/>
              <w:rPr>
                <w:rFonts w:asciiTheme="minorHAnsi" w:hAnsiTheme="minorHAnsi"/>
                <w:bCs/>
                <w:sz w:val="22"/>
                <w:szCs w:val="22"/>
                <w:lang w:val="en-US"/>
              </w:rPr>
            </w:pPr>
            <w:r w:rsidRPr="001F6349">
              <w:rPr>
                <w:rFonts w:asciiTheme="minorHAnsi" w:hAnsiTheme="minorHAnsi"/>
                <w:bCs/>
                <w:sz w:val="22"/>
                <w:szCs w:val="22"/>
                <w:lang w:val="en-US"/>
              </w:rPr>
              <w:t>El</w:t>
            </w:r>
            <w:r>
              <w:rPr>
                <w:rFonts w:asciiTheme="minorHAnsi" w:hAnsiTheme="minorHAnsi"/>
                <w:bCs/>
                <w:sz w:val="22"/>
                <w:szCs w:val="22"/>
                <w:lang w:val="en-US"/>
              </w:rPr>
              <w:t>ektrobalt</w:t>
            </w:r>
            <w:r w:rsidR="00E00A40">
              <w:rPr>
                <w:rFonts w:asciiTheme="minorHAnsi" w:hAnsiTheme="minorHAnsi"/>
                <w:bCs/>
                <w:sz w:val="22"/>
                <w:szCs w:val="22"/>
                <w:lang w:val="en-US"/>
              </w:rPr>
              <w:t>, UAB</w:t>
            </w:r>
          </w:p>
          <w:p w14:paraId="7844C303" w14:textId="08EF5DB1" w:rsidR="00284655" w:rsidRDefault="00284655" w:rsidP="00284655">
            <w:pPr>
              <w:widowControl w:val="0"/>
              <w:tabs>
                <w:tab w:val="left" w:pos="4848"/>
              </w:tabs>
              <w:autoSpaceDE w:val="0"/>
              <w:autoSpaceDN w:val="0"/>
              <w:adjustRightInd w:val="0"/>
              <w:contextualSpacing/>
              <w:rPr>
                <w:rFonts w:asciiTheme="minorHAnsi" w:hAnsiTheme="minorHAnsi"/>
                <w:bCs/>
                <w:sz w:val="22"/>
                <w:szCs w:val="22"/>
                <w:lang w:val="en-US"/>
              </w:rPr>
            </w:pPr>
            <w:r w:rsidRPr="00284655">
              <w:rPr>
                <w:rFonts w:asciiTheme="minorHAnsi" w:hAnsiTheme="minorHAnsi"/>
                <w:bCs/>
                <w:sz w:val="22"/>
                <w:szCs w:val="22"/>
                <w:lang w:val="en-US"/>
              </w:rPr>
              <w:t>Liepkalnio g. 85A, LT-02120 Vilnius</w:t>
            </w:r>
          </w:p>
          <w:p w14:paraId="00FA4799" w14:textId="4611C9C0" w:rsidR="00284655" w:rsidRDefault="00284655" w:rsidP="00284655">
            <w:pPr>
              <w:widowControl w:val="0"/>
              <w:tabs>
                <w:tab w:val="left" w:pos="4848"/>
              </w:tabs>
              <w:autoSpaceDE w:val="0"/>
              <w:autoSpaceDN w:val="0"/>
              <w:adjustRightInd w:val="0"/>
              <w:contextualSpacing/>
              <w:rPr>
                <w:rFonts w:asciiTheme="minorHAnsi" w:hAnsiTheme="minorHAnsi"/>
                <w:bCs/>
                <w:sz w:val="22"/>
                <w:szCs w:val="22"/>
                <w:lang w:val="en-US"/>
              </w:rPr>
            </w:pPr>
            <w:r w:rsidRPr="001D5F5A">
              <w:rPr>
                <w:rFonts w:asciiTheme="minorHAnsi" w:hAnsiTheme="minorHAnsi"/>
                <w:bCs/>
                <w:sz w:val="22"/>
                <w:szCs w:val="22"/>
                <w:lang w:val="en-US"/>
              </w:rPr>
              <w:t xml:space="preserve">Įmonės </w:t>
            </w:r>
            <w:r w:rsidRPr="001F6349">
              <w:rPr>
                <w:rFonts w:asciiTheme="minorHAnsi" w:hAnsiTheme="minorHAnsi" w:cstheme="minorHAnsi"/>
                <w:bCs/>
                <w:sz w:val="22"/>
                <w:szCs w:val="22"/>
                <w:lang w:val="en-US"/>
              </w:rPr>
              <w:t>kodas:</w:t>
            </w:r>
            <w:r w:rsidRPr="001F6349">
              <w:rPr>
                <w:rFonts w:asciiTheme="minorHAnsi" w:hAnsiTheme="minorHAnsi" w:cstheme="minorHAnsi"/>
                <w:sz w:val="22"/>
                <w:szCs w:val="22"/>
              </w:rPr>
              <w:t xml:space="preserve"> </w:t>
            </w:r>
            <w:r w:rsidRPr="00284655">
              <w:rPr>
                <w:rFonts w:asciiTheme="minorHAnsi" w:hAnsiTheme="minorHAnsi" w:cstheme="minorHAnsi"/>
                <w:sz w:val="22"/>
                <w:szCs w:val="22"/>
              </w:rPr>
              <w:t xml:space="preserve">110681523 </w:t>
            </w:r>
          </w:p>
          <w:p w14:paraId="1C9975A7" w14:textId="0A4EAABB" w:rsidR="00284655" w:rsidRDefault="00284655" w:rsidP="00284655">
            <w:pPr>
              <w:widowControl w:val="0"/>
              <w:tabs>
                <w:tab w:val="left" w:pos="4848"/>
              </w:tabs>
              <w:autoSpaceDE w:val="0"/>
              <w:autoSpaceDN w:val="0"/>
              <w:adjustRightInd w:val="0"/>
              <w:contextualSpacing/>
              <w:rPr>
                <w:rFonts w:asciiTheme="minorHAnsi" w:hAnsiTheme="minorHAnsi"/>
                <w:sz w:val="22"/>
                <w:szCs w:val="22"/>
              </w:rPr>
            </w:pPr>
            <w:r w:rsidRPr="00BF2AD8">
              <w:rPr>
                <w:rFonts w:asciiTheme="minorHAnsi" w:hAnsiTheme="minorHAnsi"/>
                <w:sz w:val="22"/>
                <w:szCs w:val="22"/>
              </w:rPr>
              <w:t>PVM mokėtojo kodas:</w:t>
            </w:r>
            <w:r>
              <w:rPr>
                <w:rFonts w:asciiTheme="minorHAnsi" w:hAnsiTheme="minorHAnsi"/>
                <w:sz w:val="22"/>
                <w:szCs w:val="22"/>
              </w:rPr>
              <w:t xml:space="preserve"> </w:t>
            </w:r>
            <w:r w:rsidRPr="00284655">
              <w:rPr>
                <w:rFonts w:asciiTheme="minorHAnsi" w:hAnsiTheme="minorHAnsi"/>
                <w:sz w:val="22"/>
                <w:szCs w:val="22"/>
              </w:rPr>
              <w:t>LT106815219</w:t>
            </w:r>
          </w:p>
          <w:p w14:paraId="46433C92" w14:textId="3F0A21EF" w:rsidR="00284655" w:rsidRDefault="00284655" w:rsidP="00284655">
            <w:pPr>
              <w:widowControl w:val="0"/>
              <w:tabs>
                <w:tab w:val="left" w:pos="4848"/>
              </w:tabs>
              <w:autoSpaceDE w:val="0"/>
              <w:autoSpaceDN w:val="0"/>
              <w:adjustRightInd w:val="0"/>
              <w:contextualSpacing/>
              <w:rPr>
                <w:rFonts w:asciiTheme="minorHAnsi" w:hAnsiTheme="minorHAnsi"/>
                <w:sz w:val="22"/>
                <w:szCs w:val="22"/>
              </w:rPr>
            </w:pPr>
            <w:r w:rsidRPr="00BF2AD8">
              <w:rPr>
                <w:rFonts w:asciiTheme="minorHAnsi" w:hAnsiTheme="minorHAnsi"/>
                <w:sz w:val="22"/>
                <w:szCs w:val="22"/>
              </w:rPr>
              <w:t>A/s Nr.</w:t>
            </w:r>
            <w:r w:rsidR="00BA49F1">
              <w:rPr>
                <w:rFonts w:asciiTheme="minorHAnsi" w:hAnsiTheme="minorHAnsi"/>
                <w:sz w:val="22"/>
                <w:szCs w:val="22"/>
              </w:rPr>
              <w:t xml:space="preserve"> </w:t>
            </w:r>
            <w:r w:rsidR="00BA49F1" w:rsidRPr="00BA49F1">
              <w:rPr>
                <w:rFonts w:asciiTheme="minorHAnsi" w:hAnsiTheme="minorHAnsi"/>
                <w:sz w:val="22"/>
                <w:szCs w:val="22"/>
              </w:rPr>
              <w:t>LT247044060000392225</w:t>
            </w:r>
          </w:p>
          <w:p w14:paraId="1C777529" w14:textId="2BAEF92D" w:rsidR="00284655" w:rsidRDefault="00BA49F1" w:rsidP="00284655">
            <w:pPr>
              <w:widowControl w:val="0"/>
              <w:tabs>
                <w:tab w:val="left" w:pos="4848"/>
              </w:tabs>
              <w:autoSpaceDE w:val="0"/>
              <w:autoSpaceDN w:val="0"/>
              <w:adjustRightInd w:val="0"/>
              <w:contextualSpacing/>
              <w:rPr>
                <w:rFonts w:asciiTheme="minorHAnsi" w:hAnsiTheme="minorHAnsi"/>
                <w:sz w:val="22"/>
                <w:szCs w:val="22"/>
              </w:rPr>
            </w:pPr>
            <w:r w:rsidRPr="00BA49F1">
              <w:rPr>
                <w:rFonts w:asciiTheme="minorHAnsi" w:hAnsiTheme="minorHAnsi"/>
                <w:sz w:val="22"/>
                <w:szCs w:val="22"/>
              </w:rPr>
              <w:t>AB SEB bankas</w:t>
            </w:r>
          </w:p>
          <w:p w14:paraId="2DD66609" w14:textId="79C224CE" w:rsidR="00284655" w:rsidRDefault="00284655" w:rsidP="00284655">
            <w:pPr>
              <w:widowControl w:val="0"/>
              <w:tabs>
                <w:tab w:val="left" w:pos="4848"/>
              </w:tabs>
              <w:autoSpaceDE w:val="0"/>
              <w:autoSpaceDN w:val="0"/>
              <w:adjustRightInd w:val="0"/>
              <w:contextualSpacing/>
              <w:rPr>
                <w:rFonts w:asciiTheme="minorHAnsi" w:hAnsiTheme="minorHAnsi"/>
                <w:sz w:val="22"/>
                <w:szCs w:val="22"/>
              </w:rPr>
            </w:pPr>
            <w:r>
              <w:rPr>
                <w:rFonts w:asciiTheme="minorHAnsi" w:hAnsiTheme="minorHAnsi"/>
                <w:sz w:val="22"/>
                <w:szCs w:val="22"/>
              </w:rPr>
              <w:t xml:space="preserve">Tel. </w:t>
            </w:r>
            <w:r w:rsidR="00BA49F1">
              <w:rPr>
                <w:rFonts w:asciiTheme="minorHAnsi" w:hAnsiTheme="minorHAnsi"/>
                <w:sz w:val="22"/>
                <w:szCs w:val="22"/>
              </w:rPr>
              <w:t xml:space="preserve">: </w:t>
            </w:r>
            <w:r w:rsidR="00BA49F1" w:rsidRPr="00BA49F1">
              <w:rPr>
                <w:rFonts w:asciiTheme="minorHAnsi" w:hAnsiTheme="minorHAnsi"/>
                <w:sz w:val="22"/>
                <w:szCs w:val="22"/>
              </w:rPr>
              <w:t>+370</w:t>
            </w:r>
            <w:r w:rsidR="00BA49F1">
              <w:rPr>
                <w:rFonts w:asciiTheme="minorHAnsi" w:hAnsiTheme="minorHAnsi"/>
                <w:sz w:val="22"/>
                <w:szCs w:val="22"/>
              </w:rPr>
              <w:t> </w:t>
            </w:r>
            <w:r w:rsidR="00BA49F1" w:rsidRPr="00BA49F1">
              <w:rPr>
                <w:rFonts w:asciiTheme="minorHAnsi" w:hAnsiTheme="minorHAnsi"/>
                <w:sz w:val="22"/>
                <w:szCs w:val="22"/>
              </w:rPr>
              <w:t>526</w:t>
            </w:r>
            <w:r w:rsidR="00BA49F1">
              <w:rPr>
                <w:rFonts w:asciiTheme="minorHAnsi" w:hAnsiTheme="minorHAnsi"/>
                <w:sz w:val="22"/>
                <w:szCs w:val="22"/>
              </w:rPr>
              <w:t xml:space="preserve"> </w:t>
            </w:r>
            <w:r w:rsidR="00BA49F1" w:rsidRPr="00BA49F1">
              <w:rPr>
                <w:rFonts w:asciiTheme="minorHAnsi" w:hAnsiTheme="minorHAnsi"/>
                <w:sz w:val="22"/>
                <w:szCs w:val="22"/>
              </w:rPr>
              <w:t>60094</w:t>
            </w:r>
          </w:p>
          <w:p w14:paraId="733E3324" w14:textId="61DFD8BD" w:rsidR="000A4F25" w:rsidRPr="00BF2AD8" w:rsidRDefault="00284655" w:rsidP="00284655">
            <w:pPr>
              <w:widowControl w:val="0"/>
              <w:tabs>
                <w:tab w:val="left" w:pos="4848"/>
              </w:tabs>
              <w:autoSpaceDE w:val="0"/>
              <w:autoSpaceDN w:val="0"/>
              <w:adjustRightInd w:val="0"/>
              <w:contextualSpacing/>
              <w:rPr>
                <w:rFonts w:asciiTheme="minorHAnsi" w:hAnsiTheme="minorHAnsi"/>
                <w:bCs/>
                <w:sz w:val="22"/>
                <w:szCs w:val="22"/>
                <w:lang w:val="en-US"/>
              </w:rPr>
            </w:pPr>
            <w:r>
              <w:rPr>
                <w:rFonts w:asciiTheme="minorHAnsi" w:hAnsiTheme="minorHAnsi"/>
                <w:sz w:val="22"/>
                <w:szCs w:val="22"/>
              </w:rPr>
              <w:t xml:space="preserve">El p.: </w:t>
            </w:r>
            <w:r w:rsidR="00BA49F1" w:rsidRPr="00BA49F1">
              <w:rPr>
                <w:rFonts w:asciiTheme="minorHAnsi" w:hAnsiTheme="minorHAnsi"/>
                <w:color w:val="0000FF"/>
                <w:sz w:val="22"/>
                <w:szCs w:val="22"/>
                <w:u w:val="single"/>
              </w:rPr>
              <w:t>administracija@elektrobalt.lt</w:t>
            </w:r>
          </w:p>
        </w:tc>
      </w:tr>
      <w:tr w:rsidR="000A4F25" w:rsidRPr="00BF2AD8" w14:paraId="5BB5C196" w14:textId="77777777" w:rsidTr="00654C3F">
        <w:trPr>
          <w:trHeight w:val="773"/>
        </w:trPr>
        <w:tc>
          <w:tcPr>
            <w:tcW w:w="2647" w:type="pct"/>
          </w:tcPr>
          <w:p w14:paraId="619E52DF" w14:textId="11DE1F90" w:rsidR="00CD2514" w:rsidRDefault="00CD2514" w:rsidP="00C747EE">
            <w:pPr>
              <w:rPr>
                <w:rFonts w:asciiTheme="minorHAnsi" w:hAnsiTheme="minorHAnsi"/>
                <w:sz w:val="22"/>
                <w:szCs w:val="22"/>
              </w:rPr>
            </w:pPr>
          </w:p>
          <w:p w14:paraId="44C66A02" w14:textId="31213295"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w:t>
            </w:r>
          </w:p>
          <w:p w14:paraId="19F3E0B3" w14:textId="4AA19E40" w:rsidR="00284655" w:rsidRDefault="00284655" w:rsidP="00284655">
            <w:pPr>
              <w:ind w:left="-110"/>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9F7AD6">
              <w:rPr>
                <w:rFonts w:asciiTheme="minorHAnsi" w:hAnsiTheme="minorHAnsi" w:cstheme="minorHAnsi"/>
                <w:bCs/>
                <w:sz w:val="22"/>
                <w:szCs w:val="22"/>
              </w:rPr>
              <w:t>Generalinis direktorius</w:t>
            </w:r>
          </w:p>
          <w:p w14:paraId="0ADDA652" w14:textId="3540EAF2" w:rsidR="00284655" w:rsidRPr="005E1601" w:rsidRDefault="00284655" w:rsidP="00284655">
            <w:r w:rsidRPr="009F7AD6">
              <w:rPr>
                <w:rFonts w:asciiTheme="minorHAnsi" w:hAnsiTheme="minorHAnsi" w:cstheme="minorHAnsi"/>
                <w:bCs/>
                <w:sz w:val="22"/>
                <w:szCs w:val="22"/>
              </w:rPr>
              <w:t>Saulius Batavičius</w:t>
            </w:r>
          </w:p>
          <w:p w14:paraId="59E6E6E0" w14:textId="7DC0304B" w:rsidR="000A4F25" w:rsidRPr="005E1601" w:rsidRDefault="000A4F25" w:rsidP="00C747EE"/>
        </w:tc>
        <w:tc>
          <w:tcPr>
            <w:tcW w:w="2353" w:type="pct"/>
          </w:tcPr>
          <w:p w14:paraId="342165A8" w14:textId="77777777" w:rsidR="00CD2514" w:rsidRDefault="00CD2514" w:rsidP="00C747EE">
            <w:pPr>
              <w:rPr>
                <w:rFonts w:asciiTheme="minorHAnsi" w:hAnsiTheme="minorHAnsi"/>
                <w:sz w:val="22"/>
                <w:szCs w:val="22"/>
              </w:rPr>
            </w:pPr>
          </w:p>
          <w:p w14:paraId="616E53F9" w14:textId="6992AFA2" w:rsidR="000A4F25" w:rsidRPr="00284655" w:rsidRDefault="000A4F25" w:rsidP="00C747EE">
            <w:pPr>
              <w:rPr>
                <w:rFonts w:asciiTheme="minorHAnsi" w:hAnsiTheme="minorHAnsi"/>
                <w:sz w:val="22"/>
                <w:szCs w:val="22"/>
              </w:rPr>
            </w:pPr>
            <w:r w:rsidRPr="00BF2AD8">
              <w:rPr>
                <w:rFonts w:asciiTheme="minorHAnsi" w:hAnsiTheme="minorHAnsi"/>
                <w:sz w:val="22"/>
                <w:szCs w:val="22"/>
              </w:rPr>
              <w:t>_______________________</w:t>
            </w:r>
          </w:p>
          <w:p w14:paraId="60987496" w14:textId="3C231EEA" w:rsidR="001F5DBE" w:rsidRDefault="00BA49F1" w:rsidP="001F5DBE">
            <w:pPr>
              <w:ind w:right="1147"/>
              <w:rPr>
                <w:rFonts w:asciiTheme="minorHAnsi" w:hAnsiTheme="minorHAnsi"/>
                <w:bCs/>
                <w:sz w:val="22"/>
                <w:szCs w:val="22"/>
              </w:rPr>
            </w:pPr>
            <w:r w:rsidRPr="00BA49F1">
              <w:rPr>
                <w:rFonts w:asciiTheme="minorHAnsi" w:hAnsiTheme="minorHAnsi"/>
                <w:bCs/>
                <w:sz w:val="22"/>
                <w:szCs w:val="22"/>
              </w:rPr>
              <w:t>Pardavimų vadovas</w:t>
            </w:r>
          </w:p>
          <w:p w14:paraId="53BD855E" w14:textId="74151985" w:rsidR="008879D8" w:rsidRPr="00BF2AD8" w:rsidRDefault="00BA49F1" w:rsidP="001F5DBE">
            <w:pPr>
              <w:ind w:right="1147"/>
              <w:rPr>
                <w:rFonts w:asciiTheme="minorHAnsi" w:hAnsiTheme="minorHAnsi"/>
                <w:sz w:val="22"/>
                <w:szCs w:val="22"/>
              </w:rPr>
            </w:pPr>
            <w:r w:rsidRPr="00BA49F1">
              <w:rPr>
                <w:rFonts w:asciiTheme="minorHAnsi" w:hAnsiTheme="minorHAnsi"/>
                <w:sz w:val="22"/>
                <w:szCs w:val="22"/>
              </w:rPr>
              <w:t>Žilvinas Čėsna</w:t>
            </w:r>
          </w:p>
          <w:p w14:paraId="28B2500D" w14:textId="3B68CDB1" w:rsidR="001F5DBE" w:rsidRPr="001F5DBE" w:rsidRDefault="001F5DBE" w:rsidP="00C747EE"/>
        </w:tc>
      </w:tr>
    </w:tbl>
    <w:p w14:paraId="0CF3BFF7" w14:textId="77777777" w:rsidR="00CD2514" w:rsidRDefault="00CD2514" w:rsidP="00DF7FDE">
      <w:pPr>
        <w:spacing w:line="276" w:lineRule="auto"/>
        <w:ind w:left="6480" w:firstLine="1296"/>
        <w:jc w:val="center"/>
        <w:rPr>
          <w:rFonts w:ascii="Calibri" w:hAnsi="Calibri" w:cs="Calibri"/>
          <w:sz w:val="22"/>
          <w:szCs w:val="22"/>
        </w:rPr>
      </w:pPr>
    </w:p>
    <w:p w14:paraId="7CE90C5A" w14:textId="77777777" w:rsidR="00CD2514" w:rsidRDefault="00CD2514" w:rsidP="00DF7FDE">
      <w:pPr>
        <w:spacing w:line="276" w:lineRule="auto"/>
        <w:ind w:left="6480" w:firstLine="1296"/>
        <w:jc w:val="center"/>
        <w:rPr>
          <w:rFonts w:ascii="Calibri" w:hAnsi="Calibri" w:cs="Calibri"/>
          <w:sz w:val="22"/>
          <w:szCs w:val="22"/>
        </w:rPr>
      </w:pPr>
    </w:p>
    <w:p w14:paraId="76FB8213" w14:textId="77777777" w:rsidR="00CD2514" w:rsidRDefault="00CD2514" w:rsidP="00DF7FDE">
      <w:pPr>
        <w:spacing w:line="276" w:lineRule="auto"/>
        <w:ind w:left="6480" w:firstLine="1296"/>
        <w:jc w:val="center"/>
        <w:rPr>
          <w:rFonts w:ascii="Calibri" w:hAnsi="Calibri" w:cs="Calibri"/>
          <w:sz w:val="22"/>
          <w:szCs w:val="22"/>
        </w:rPr>
      </w:pPr>
    </w:p>
    <w:p w14:paraId="71F7A5F5" w14:textId="77777777" w:rsidR="00E00A40" w:rsidRDefault="00E00A40" w:rsidP="00DF7FDE">
      <w:pPr>
        <w:spacing w:line="276" w:lineRule="auto"/>
        <w:ind w:left="6480" w:firstLine="1296"/>
        <w:jc w:val="center"/>
        <w:rPr>
          <w:rFonts w:ascii="Calibri" w:hAnsi="Calibri" w:cs="Calibri"/>
          <w:sz w:val="22"/>
          <w:szCs w:val="22"/>
        </w:rPr>
      </w:pPr>
    </w:p>
    <w:p w14:paraId="476A9831" w14:textId="77777777" w:rsidR="00E00A40" w:rsidRDefault="00E00A40" w:rsidP="00DF7FDE">
      <w:pPr>
        <w:spacing w:line="276" w:lineRule="auto"/>
        <w:ind w:left="6480" w:firstLine="1296"/>
        <w:jc w:val="center"/>
        <w:rPr>
          <w:rFonts w:ascii="Calibri" w:hAnsi="Calibri" w:cs="Calibri"/>
          <w:sz w:val="22"/>
          <w:szCs w:val="22"/>
        </w:rPr>
      </w:pPr>
    </w:p>
    <w:p w14:paraId="1E6561D9" w14:textId="77777777" w:rsidR="00E00A40" w:rsidRDefault="00E00A40" w:rsidP="00DF7FDE">
      <w:pPr>
        <w:spacing w:line="276" w:lineRule="auto"/>
        <w:ind w:left="6480" w:firstLine="1296"/>
        <w:jc w:val="center"/>
        <w:rPr>
          <w:rFonts w:ascii="Calibri" w:hAnsi="Calibri" w:cs="Calibri"/>
          <w:sz w:val="22"/>
          <w:szCs w:val="22"/>
        </w:rPr>
      </w:pPr>
    </w:p>
    <w:p w14:paraId="4614C8FC" w14:textId="77777777" w:rsidR="00E00A40" w:rsidRDefault="00E00A40" w:rsidP="00DF7FDE">
      <w:pPr>
        <w:spacing w:line="276" w:lineRule="auto"/>
        <w:ind w:left="6480" w:firstLine="1296"/>
        <w:jc w:val="center"/>
        <w:rPr>
          <w:rFonts w:ascii="Calibri" w:hAnsi="Calibri" w:cs="Calibri"/>
          <w:sz w:val="22"/>
          <w:szCs w:val="22"/>
        </w:rPr>
      </w:pPr>
    </w:p>
    <w:p w14:paraId="13DA2EC1" w14:textId="77777777" w:rsidR="00E00A40" w:rsidRPr="00E00A40" w:rsidRDefault="00E00A40" w:rsidP="00DF7FDE">
      <w:pPr>
        <w:spacing w:line="276" w:lineRule="auto"/>
        <w:ind w:left="6480" w:firstLine="1296"/>
        <w:jc w:val="center"/>
        <w:rPr>
          <w:rFonts w:ascii="Calibri" w:hAnsi="Calibri" w:cs="Calibri"/>
          <w:sz w:val="22"/>
          <w:szCs w:val="22"/>
          <w:lang w:val="en-US"/>
        </w:rPr>
      </w:pPr>
    </w:p>
    <w:p w14:paraId="1C6A416B" w14:textId="138BD873"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lastRenderedPageBreak/>
        <w:t>3 priedas</w:t>
      </w:r>
    </w:p>
    <w:p w14:paraId="4F56D637" w14:textId="77777777" w:rsidR="00CD2514" w:rsidRDefault="00CD2514" w:rsidP="00DF7FDE">
      <w:pPr>
        <w:spacing w:line="276" w:lineRule="auto"/>
        <w:jc w:val="center"/>
        <w:rPr>
          <w:rFonts w:ascii="Calibri" w:hAnsi="Calibri" w:cs="Calibri"/>
          <w:b/>
          <w:sz w:val="22"/>
          <w:szCs w:val="22"/>
        </w:rPr>
      </w:pPr>
    </w:p>
    <w:p w14:paraId="2409EF5C" w14:textId="77777777" w:rsidR="00CD2514" w:rsidRDefault="00CD2514" w:rsidP="00DF7FDE">
      <w:pPr>
        <w:spacing w:line="276" w:lineRule="auto"/>
        <w:jc w:val="center"/>
        <w:rPr>
          <w:rFonts w:ascii="Calibri" w:hAnsi="Calibri" w:cs="Calibri"/>
          <w:b/>
          <w:sz w:val="22"/>
          <w:szCs w:val="22"/>
        </w:rPr>
      </w:pPr>
    </w:p>
    <w:p w14:paraId="5824D1CE" w14:textId="77777777" w:rsidR="00CD2514" w:rsidRDefault="00CD2514" w:rsidP="00DF7FDE">
      <w:pPr>
        <w:spacing w:line="276" w:lineRule="auto"/>
        <w:jc w:val="center"/>
        <w:rPr>
          <w:rFonts w:ascii="Calibri" w:hAnsi="Calibri" w:cs="Calibri"/>
          <w:b/>
          <w:sz w:val="22"/>
          <w:szCs w:val="22"/>
        </w:rPr>
      </w:pPr>
    </w:p>
    <w:p w14:paraId="335C736C" w14:textId="2C30687A"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7CC4CFFF" w14:textId="77777777" w:rsidR="00DF7FDE" w:rsidRPr="002244FD" w:rsidRDefault="00DF7FDE" w:rsidP="00DF7FDE">
      <w:pPr>
        <w:spacing w:line="276" w:lineRule="auto"/>
        <w:jc w:val="center"/>
        <w:rPr>
          <w:rFonts w:ascii="Calibri" w:hAnsi="Calibri" w:cs="Calibri"/>
          <w:b/>
          <w:sz w:val="22"/>
          <w:szCs w:val="22"/>
        </w:rPr>
      </w:pPr>
    </w:p>
    <w:p w14:paraId="256C5AB5" w14:textId="77777777" w:rsidR="00DF7FDE" w:rsidRPr="00DD1610" w:rsidRDefault="00DF7FDE" w:rsidP="00DF7FDE">
      <w:pPr>
        <w:spacing w:line="276" w:lineRule="auto"/>
        <w:jc w:val="center"/>
        <w:rPr>
          <w:rFonts w:ascii="Calibri" w:hAnsi="Calibri" w:cs="Calibri"/>
          <w:color w:val="000000"/>
        </w:rPr>
      </w:pPr>
      <w:r>
        <w:rPr>
          <w:rFonts w:ascii="Calibri" w:hAnsi="Calibri" w:cs="Calibri"/>
        </w:rPr>
        <w:t xml:space="preserve">20.....m. </w:t>
      </w:r>
      <w:r w:rsidRPr="00DD1610">
        <w:rPr>
          <w:rFonts w:ascii="Calibri" w:hAnsi="Calibri" w:cs="Calibri"/>
          <w:color w:val="000000"/>
        </w:rPr>
        <w:t>..................... d. Nr. ..............</w:t>
      </w:r>
    </w:p>
    <w:p w14:paraId="48E088FA"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68F3B3A3" w14:textId="77777777" w:rsidR="00DF7FDE" w:rsidRDefault="00DF7FDE" w:rsidP="00DF7FDE">
      <w:pPr>
        <w:spacing w:line="276" w:lineRule="auto"/>
        <w:jc w:val="center"/>
        <w:rPr>
          <w:rFonts w:ascii="Calibri" w:hAnsi="Calibri" w:cs="Calibri"/>
          <w:b/>
          <w:color w:val="000000"/>
          <w:sz w:val="22"/>
          <w:szCs w:val="22"/>
        </w:rPr>
      </w:pPr>
    </w:p>
    <w:p w14:paraId="683F65BB" w14:textId="77777777" w:rsidR="00DF7FDE" w:rsidRPr="00DD1610" w:rsidRDefault="00DF7FDE" w:rsidP="00DF7FDE">
      <w:pPr>
        <w:spacing w:line="276" w:lineRule="auto"/>
        <w:jc w:val="center"/>
        <w:rPr>
          <w:rFonts w:ascii="Calibri" w:hAnsi="Calibri" w:cs="Calibri"/>
          <w:b/>
          <w:color w:val="000000"/>
          <w:sz w:val="22"/>
          <w:szCs w:val="22"/>
        </w:rPr>
      </w:pPr>
    </w:p>
    <w:p w14:paraId="632E97E4" w14:textId="77777777" w:rsidR="00DF7FDE" w:rsidRPr="0002548A" w:rsidRDefault="00DF7FDE" w:rsidP="00DF7FDE">
      <w:pPr>
        <w:jc w:val="center"/>
        <w:rPr>
          <w:rFonts w:ascii="Calibri" w:hAnsi="Calibri" w:cs="Calibri"/>
          <w:b/>
          <w:sz w:val="22"/>
          <w:szCs w:val="22"/>
        </w:rPr>
      </w:pPr>
    </w:p>
    <w:p w14:paraId="0D85E152"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6421B1F2" w14:textId="77777777" w:rsidR="00DF7FDE" w:rsidRDefault="00DF7FDE" w:rsidP="00DF7FDE">
      <w:pPr>
        <w:jc w:val="both"/>
        <w:rPr>
          <w:rFonts w:ascii="Calibri" w:hAnsi="Calibri" w:cs="Calibri"/>
          <w:sz w:val="22"/>
          <w:szCs w:val="22"/>
        </w:rPr>
      </w:pPr>
    </w:p>
    <w:p w14:paraId="7BB482BA"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57081666" w14:textId="77777777" w:rsidR="00DF7FDE" w:rsidRDefault="00DF7FDE" w:rsidP="00DF7FDE">
      <w:pPr>
        <w:jc w:val="both"/>
        <w:rPr>
          <w:rFonts w:ascii="Calibri" w:hAnsi="Calibri" w:cs="Calibri"/>
          <w:sz w:val="22"/>
          <w:szCs w:val="22"/>
        </w:rPr>
      </w:pPr>
    </w:p>
    <w:p w14:paraId="6C503892"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5C9719FF"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632"/>
        <w:gridCol w:w="954"/>
        <w:gridCol w:w="1569"/>
        <w:gridCol w:w="1553"/>
      </w:tblGrid>
      <w:tr w:rsidR="005E1601" w:rsidRPr="0002548A" w14:paraId="5EEF2511" w14:textId="77777777" w:rsidTr="005E1601">
        <w:tc>
          <w:tcPr>
            <w:tcW w:w="863" w:type="dxa"/>
            <w:shd w:val="clear" w:color="auto" w:fill="auto"/>
            <w:vAlign w:val="center"/>
          </w:tcPr>
          <w:p w14:paraId="2BCD2747"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4632" w:type="dxa"/>
            <w:shd w:val="clear" w:color="auto" w:fill="auto"/>
            <w:vAlign w:val="center"/>
          </w:tcPr>
          <w:p w14:paraId="5D31F90A" w14:textId="07D20136" w:rsidR="005E1601" w:rsidRPr="0002548A" w:rsidRDefault="005E1601" w:rsidP="005E1601">
            <w:pPr>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s</w:t>
            </w:r>
          </w:p>
        </w:tc>
        <w:tc>
          <w:tcPr>
            <w:tcW w:w="954" w:type="dxa"/>
            <w:shd w:val="clear" w:color="auto" w:fill="auto"/>
            <w:vAlign w:val="center"/>
          </w:tcPr>
          <w:p w14:paraId="612BCBEC" w14:textId="519A888A" w:rsidR="005E1601" w:rsidRPr="0002548A" w:rsidRDefault="005E1601" w:rsidP="005E1601">
            <w:pPr>
              <w:jc w:val="center"/>
              <w:rPr>
                <w:rFonts w:ascii="Calibri" w:hAnsi="Calibri" w:cs="Calibri"/>
                <w:sz w:val="22"/>
                <w:szCs w:val="22"/>
              </w:rPr>
            </w:pPr>
            <w:r w:rsidRPr="0002548A">
              <w:rPr>
                <w:rFonts w:ascii="Calibri" w:hAnsi="Calibri" w:cs="Calibri"/>
                <w:sz w:val="22"/>
                <w:szCs w:val="22"/>
              </w:rPr>
              <w:t>Kiekis</w:t>
            </w:r>
            <w:r>
              <w:rPr>
                <w:rFonts w:ascii="Calibri" w:hAnsi="Calibri" w:cs="Calibri"/>
                <w:sz w:val="22"/>
                <w:szCs w:val="22"/>
              </w:rPr>
              <w:t>, vnt.</w:t>
            </w:r>
          </w:p>
        </w:tc>
        <w:tc>
          <w:tcPr>
            <w:tcW w:w="1569" w:type="dxa"/>
            <w:shd w:val="clear" w:color="auto" w:fill="auto"/>
            <w:vAlign w:val="center"/>
          </w:tcPr>
          <w:p w14:paraId="683B0E06"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shd w:val="clear" w:color="auto" w:fill="auto"/>
            <w:vAlign w:val="center"/>
          </w:tcPr>
          <w:p w14:paraId="3C95EE99" w14:textId="545ACEBC" w:rsidR="005E1601" w:rsidRPr="0002548A" w:rsidRDefault="005E1601" w:rsidP="005E1601">
            <w:pPr>
              <w:jc w:val="center"/>
              <w:rPr>
                <w:rFonts w:ascii="Calibri" w:hAnsi="Calibri" w:cs="Calibri"/>
                <w:sz w:val="22"/>
                <w:szCs w:val="22"/>
              </w:rPr>
            </w:pPr>
            <w:r>
              <w:rPr>
                <w:rFonts w:ascii="Calibri" w:hAnsi="Calibri" w:cs="Calibri"/>
                <w:sz w:val="22"/>
                <w:szCs w:val="22"/>
              </w:rPr>
              <w:t>Viso kaina, EUR</w:t>
            </w:r>
            <w:r w:rsidRPr="0002548A">
              <w:rPr>
                <w:rFonts w:ascii="Calibri" w:hAnsi="Calibri" w:cs="Calibri"/>
                <w:sz w:val="22"/>
                <w:szCs w:val="22"/>
              </w:rPr>
              <w:t xml:space="preserve"> be</w:t>
            </w:r>
            <w:r>
              <w:rPr>
                <w:rFonts w:ascii="Calibri" w:hAnsi="Calibri" w:cs="Calibri"/>
                <w:sz w:val="22"/>
                <w:szCs w:val="22"/>
              </w:rPr>
              <w:t xml:space="preserve"> PVM</w:t>
            </w:r>
          </w:p>
        </w:tc>
      </w:tr>
      <w:tr w:rsidR="005E1601" w:rsidRPr="0002548A" w14:paraId="31F01334" w14:textId="77777777" w:rsidTr="00E1248C">
        <w:tc>
          <w:tcPr>
            <w:tcW w:w="863" w:type="dxa"/>
            <w:shd w:val="clear" w:color="auto" w:fill="auto"/>
          </w:tcPr>
          <w:p w14:paraId="176DF3F1" w14:textId="77777777" w:rsidR="005E1601" w:rsidRPr="0002548A" w:rsidRDefault="005E1601" w:rsidP="006F5115">
            <w:pPr>
              <w:jc w:val="center"/>
              <w:rPr>
                <w:rFonts w:ascii="Calibri" w:hAnsi="Calibri" w:cs="Calibri"/>
                <w:sz w:val="22"/>
                <w:szCs w:val="22"/>
              </w:rPr>
            </w:pPr>
          </w:p>
        </w:tc>
        <w:tc>
          <w:tcPr>
            <w:tcW w:w="4632" w:type="dxa"/>
            <w:shd w:val="clear" w:color="auto" w:fill="auto"/>
          </w:tcPr>
          <w:p w14:paraId="18F7FCD0" w14:textId="77777777" w:rsidR="005E1601" w:rsidRPr="0002548A" w:rsidRDefault="005E1601" w:rsidP="006F5115">
            <w:pPr>
              <w:jc w:val="center"/>
              <w:rPr>
                <w:rFonts w:ascii="Calibri" w:hAnsi="Calibri" w:cs="Calibri"/>
                <w:sz w:val="22"/>
                <w:szCs w:val="22"/>
              </w:rPr>
            </w:pPr>
          </w:p>
        </w:tc>
        <w:tc>
          <w:tcPr>
            <w:tcW w:w="954" w:type="dxa"/>
            <w:shd w:val="clear" w:color="auto" w:fill="auto"/>
          </w:tcPr>
          <w:p w14:paraId="7CAA7D05" w14:textId="77777777" w:rsidR="005E1601" w:rsidRPr="0002548A" w:rsidRDefault="005E1601" w:rsidP="006F5115">
            <w:pPr>
              <w:jc w:val="center"/>
              <w:rPr>
                <w:rFonts w:ascii="Calibri" w:hAnsi="Calibri" w:cs="Calibri"/>
                <w:sz w:val="22"/>
                <w:szCs w:val="22"/>
              </w:rPr>
            </w:pPr>
          </w:p>
        </w:tc>
        <w:tc>
          <w:tcPr>
            <w:tcW w:w="1569" w:type="dxa"/>
            <w:shd w:val="clear" w:color="auto" w:fill="auto"/>
          </w:tcPr>
          <w:p w14:paraId="338B1144" w14:textId="77777777" w:rsidR="005E1601" w:rsidRPr="0002548A" w:rsidRDefault="005E1601" w:rsidP="006F5115">
            <w:pPr>
              <w:jc w:val="center"/>
              <w:rPr>
                <w:rFonts w:ascii="Calibri" w:hAnsi="Calibri" w:cs="Calibri"/>
                <w:sz w:val="22"/>
                <w:szCs w:val="22"/>
              </w:rPr>
            </w:pPr>
          </w:p>
        </w:tc>
        <w:tc>
          <w:tcPr>
            <w:tcW w:w="1553" w:type="dxa"/>
            <w:shd w:val="clear" w:color="auto" w:fill="auto"/>
          </w:tcPr>
          <w:p w14:paraId="79223FA2" w14:textId="77777777" w:rsidR="005E1601" w:rsidRPr="0002548A" w:rsidRDefault="005E1601" w:rsidP="006F5115">
            <w:pPr>
              <w:jc w:val="center"/>
              <w:rPr>
                <w:rFonts w:ascii="Calibri" w:hAnsi="Calibri" w:cs="Calibri"/>
                <w:sz w:val="22"/>
                <w:szCs w:val="22"/>
              </w:rPr>
            </w:pPr>
          </w:p>
        </w:tc>
      </w:tr>
      <w:tr w:rsidR="005E1601" w:rsidRPr="0002548A" w14:paraId="09562C6C" w14:textId="77777777" w:rsidTr="00E1248C">
        <w:tc>
          <w:tcPr>
            <w:tcW w:w="863" w:type="dxa"/>
            <w:shd w:val="clear" w:color="auto" w:fill="auto"/>
          </w:tcPr>
          <w:p w14:paraId="3190A78B" w14:textId="77777777" w:rsidR="005E1601" w:rsidRPr="0002548A" w:rsidRDefault="005E1601" w:rsidP="006F5115">
            <w:pPr>
              <w:jc w:val="center"/>
              <w:rPr>
                <w:rFonts w:ascii="Calibri" w:hAnsi="Calibri" w:cs="Calibri"/>
                <w:sz w:val="22"/>
                <w:szCs w:val="22"/>
              </w:rPr>
            </w:pPr>
          </w:p>
        </w:tc>
        <w:tc>
          <w:tcPr>
            <w:tcW w:w="4632" w:type="dxa"/>
            <w:shd w:val="clear" w:color="auto" w:fill="auto"/>
          </w:tcPr>
          <w:p w14:paraId="1578499A" w14:textId="77777777" w:rsidR="005E1601" w:rsidRPr="0002548A" w:rsidRDefault="005E1601" w:rsidP="006F5115">
            <w:pPr>
              <w:jc w:val="center"/>
              <w:rPr>
                <w:rFonts w:ascii="Calibri" w:hAnsi="Calibri" w:cs="Calibri"/>
                <w:sz w:val="22"/>
                <w:szCs w:val="22"/>
              </w:rPr>
            </w:pPr>
          </w:p>
        </w:tc>
        <w:tc>
          <w:tcPr>
            <w:tcW w:w="954" w:type="dxa"/>
            <w:shd w:val="clear" w:color="auto" w:fill="auto"/>
          </w:tcPr>
          <w:p w14:paraId="42AC6513" w14:textId="77777777" w:rsidR="005E1601" w:rsidRPr="0002548A" w:rsidRDefault="005E1601" w:rsidP="006F5115">
            <w:pPr>
              <w:jc w:val="center"/>
              <w:rPr>
                <w:rFonts w:ascii="Calibri" w:hAnsi="Calibri" w:cs="Calibri"/>
                <w:sz w:val="22"/>
                <w:szCs w:val="22"/>
              </w:rPr>
            </w:pPr>
          </w:p>
        </w:tc>
        <w:tc>
          <w:tcPr>
            <w:tcW w:w="1569" w:type="dxa"/>
            <w:shd w:val="clear" w:color="auto" w:fill="auto"/>
          </w:tcPr>
          <w:p w14:paraId="6AAE525B" w14:textId="77777777" w:rsidR="005E1601" w:rsidRPr="0002548A" w:rsidRDefault="005E1601" w:rsidP="006F5115">
            <w:pPr>
              <w:jc w:val="center"/>
              <w:rPr>
                <w:rFonts w:ascii="Calibri" w:hAnsi="Calibri" w:cs="Calibri"/>
                <w:sz w:val="22"/>
                <w:szCs w:val="22"/>
              </w:rPr>
            </w:pPr>
          </w:p>
        </w:tc>
        <w:tc>
          <w:tcPr>
            <w:tcW w:w="1553" w:type="dxa"/>
            <w:shd w:val="clear" w:color="auto" w:fill="auto"/>
          </w:tcPr>
          <w:p w14:paraId="3C9A5FB3" w14:textId="77777777" w:rsidR="005E1601" w:rsidRPr="0002548A" w:rsidRDefault="005E1601" w:rsidP="006F5115">
            <w:pPr>
              <w:jc w:val="center"/>
              <w:rPr>
                <w:rFonts w:ascii="Calibri" w:hAnsi="Calibri" w:cs="Calibri"/>
                <w:sz w:val="22"/>
                <w:szCs w:val="22"/>
              </w:rPr>
            </w:pPr>
          </w:p>
        </w:tc>
      </w:tr>
      <w:tr w:rsidR="00DF7FDE" w:rsidRPr="0002548A" w14:paraId="30E443D0"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621D745A" w14:textId="3AB9EF8B" w:rsidR="00DF7FDE" w:rsidRPr="003B4BBF" w:rsidRDefault="005E1601" w:rsidP="006F5115">
            <w:pPr>
              <w:spacing w:line="259" w:lineRule="auto"/>
              <w:ind w:right="54"/>
              <w:jc w:val="right"/>
              <w:rPr>
                <w:rFonts w:ascii="Calibri" w:hAnsi="Calibri" w:cs="Calibri"/>
                <w:sz w:val="22"/>
                <w:szCs w:val="22"/>
              </w:rPr>
            </w:pPr>
            <w:r>
              <w:rPr>
                <w:rFonts w:ascii="Calibri" w:hAnsi="Calibri" w:cs="Calibri"/>
                <w:sz w:val="22"/>
                <w:szCs w:val="22"/>
              </w:rPr>
              <w:t>Suma, EUR</w:t>
            </w:r>
            <w:r w:rsidR="00DF7FDE" w:rsidRPr="003B4BBF">
              <w:rPr>
                <w:rFonts w:ascii="Calibri" w:hAnsi="Calibri" w:cs="Calibri"/>
                <w:sz w:val="22"/>
                <w:szCs w:val="22"/>
              </w:rPr>
              <w:t xml:space="preserve">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F057EF5"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CCC1A52"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400A4EF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685243D"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8505C1C"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5D1A6D51" w14:textId="0A277AE5" w:rsidR="00DF7FDE" w:rsidRPr="0002548A" w:rsidRDefault="005E1601" w:rsidP="006F5115">
            <w:pPr>
              <w:spacing w:line="259" w:lineRule="auto"/>
              <w:ind w:right="54"/>
              <w:jc w:val="right"/>
              <w:rPr>
                <w:rFonts w:ascii="Calibri" w:hAnsi="Calibri" w:cs="Calibri"/>
                <w:sz w:val="22"/>
                <w:szCs w:val="22"/>
              </w:rPr>
            </w:pPr>
            <w:r>
              <w:rPr>
                <w:rFonts w:ascii="Calibri" w:hAnsi="Calibri" w:cs="Calibri"/>
                <w:b/>
                <w:sz w:val="22"/>
                <w:szCs w:val="22"/>
              </w:rPr>
              <w:t>S</w:t>
            </w:r>
            <w:r w:rsidR="00DF7FDE">
              <w:rPr>
                <w:rFonts w:ascii="Calibri" w:hAnsi="Calibri" w:cs="Calibri"/>
                <w:b/>
                <w:sz w:val="22"/>
                <w:szCs w:val="22"/>
              </w:rPr>
              <w:t>uma</w:t>
            </w:r>
            <w:r>
              <w:rPr>
                <w:rFonts w:ascii="Calibri" w:hAnsi="Calibri" w:cs="Calibri"/>
                <w:b/>
                <w:sz w:val="22"/>
                <w:szCs w:val="22"/>
              </w:rPr>
              <w:t>, EUR</w:t>
            </w:r>
            <w:r w:rsidR="00DF7FDE">
              <w:rPr>
                <w:rFonts w:ascii="Calibri" w:hAnsi="Calibri" w:cs="Calibri"/>
                <w:b/>
                <w:sz w:val="22"/>
                <w:szCs w:val="22"/>
              </w:rPr>
              <w:t xml:space="preserve"> su </w:t>
            </w:r>
            <w:r w:rsidR="00DF7FDE"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9E098BC"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5DEA62A8"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03D7A1A0" w14:textId="77777777" w:rsidR="00DF7FDE" w:rsidRDefault="00DF7FDE" w:rsidP="00DF7FDE">
      <w:pPr>
        <w:rPr>
          <w:rFonts w:ascii="Calibri" w:hAnsi="Calibri" w:cs="Calibri"/>
          <w:sz w:val="22"/>
          <w:szCs w:val="22"/>
        </w:rPr>
      </w:pPr>
    </w:p>
    <w:p w14:paraId="02601B65"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3C07A1DF" w14:textId="77777777" w:rsidR="00DF7FDE" w:rsidRPr="0002548A" w:rsidRDefault="00DF7FDE" w:rsidP="00DF7FDE">
      <w:pPr>
        <w:rPr>
          <w:rFonts w:ascii="Calibri" w:hAnsi="Calibri" w:cs="Calibri"/>
          <w:sz w:val="22"/>
          <w:szCs w:val="22"/>
        </w:rPr>
      </w:pPr>
    </w:p>
    <w:p w14:paraId="0BD9B9FD" w14:textId="77777777" w:rsidR="00DF7FDE" w:rsidRPr="0002548A" w:rsidRDefault="00DF7FDE" w:rsidP="00DF7FDE">
      <w:pPr>
        <w:rPr>
          <w:rFonts w:ascii="Calibri" w:hAnsi="Calibri" w:cs="Calibri"/>
          <w:sz w:val="22"/>
          <w:szCs w:val="22"/>
        </w:rPr>
      </w:pPr>
    </w:p>
    <w:p w14:paraId="3AC0DE73"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PAARDAVĖJO ATSTOVAS</w:t>
      </w:r>
    </w:p>
    <w:p w14:paraId="1422BCD1" w14:textId="77777777" w:rsidR="00442FBA" w:rsidRDefault="00442FBA" w:rsidP="00442FBA">
      <w:pPr>
        <w:tabs>
          <w:tab w:val="left" w:pos="5130"/>
        </w:tabs>
        <w:jc w:val="both"/>
        <w:rPr>
          <w:rFonts w:ascii="Calibri" w:hAnsi="Calibri"/>
          <w:b/>
          <w:bCs/>
          <w:sz w:val="22"/>
          <w:szCs w:val="22"/>
        </w:rPr>
      </w:pPr>
    </w:p>
    <w:p w14:paraId="13B26C01"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3EE6202E" w14:textId="77777777" w:rsidR="00442FBA" w:rsidRDefault="00442FBA" w:rsidP="00442FBA">
      <w:pPr>
        <w:tabs>
          <w:tab w:val="left" w:pos="5130"/>
        </w:tabs>
        <w:jc w:val="both"/>
        <w:rPr>
          <w:rFonts w:ascii="Calibri" w:hAnsi="Calibri"/>
          <w:sz w:val="22"/>
          <w:szCs w:val="22"/>
        </w:rPr>
      </w:pPr>
    </w:p>
    <w:p w14:paraId="1D6D58EF"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6F98299"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2D13DCC8" w14:textId="77777777" w:rsidR="00442FBA" w:rsidRDefault="00442FBA" w:rsidP="00442FBA">
      <w:pPr>
        <w:jc w:val="both"/>
        <w:rPr>
          <w:rFonts w:ascii="Calibri" w:hAnsi="Calibri" w:cs="Calibri"/>
          <w:color w:val="000000"/>
          <w:sz w:val="22"/>
          <w:szCs w:val="22"/>
        </w:rPr>
      </w:pPr>
    </w:p>
    <w:p w14:paraId="6E09BD25" w14:textId="77777777" w:rsidR="00442FBA" w:rsidRDefault="00442FBA" w:rsidP="00442FBA">
      <w:pPr>
        <w:jc w:val="both"/>
        <w:rPr>
          <w:rFonts w:ascii="Calibri" w:hAnsi="Calibri" w:cs="Calibri"/>
          <w:color w:val="000000"/>
          <w:sz w:val="22"/>
          <w:szCs w:val="22"/>
        </w:rPr>
      </w:pPr>
    </w:p>
    <w:p w14:paraId="06AA2224"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47EC6F8E" w14:textId="77777777" w:rsidR="00442FBA" w:rsidRDefault="00442FBA" w:rsidP="00442FBA">
      <w:pPr>
        <w:tabs>
          <w:tab w:val="left" w:pos="5130"/>
        </w:tabs>
        <w:jc w:val="both"/>
        <w:rPr>
          <w:rFonts w:ascii="Calibri" w:hAnsi="Calibri"/>
          <w:b/>
          <w:bCs/>
          <w:sz w:val="22"/>
          <w:szCs w:val="22"/>
        </w:rPr>
      </w:pPr>
    </w:p>
    <w:p w14:paraId="5480886E"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61FEC8BD" w14:textId="77777777" w:rsidR="00442FBA" w:rsidRDefault="00442FBA" w:rsidP="00442FBA">
      <w:pPr>
        <w:tabs>
          <w:tab w:val="left" w:pos="5130"/>
        </w:tabs>
        <w:jc w:val="both"/>
        <w:rPr>
          <w:rFonts w:ascii="Calibri" w:hAnsi="Calibri"/>
          <w:sz w:val="22"/>
          <w:szCs w:val="22"/>
        </w:rPr>
      </w:pPr>
    </w:p>
    <w:p w14:paraId="0667E044"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A134FDE"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31EBD636" w14:textId="77777777" w:rsidR="00442FBA" w:rsidRDefault="00442FBA" w:rsidP="00442FBA">
      <w:pPr>
        <w:jc w:val="center"/>
      </w:pPr>
    </w:p>
    <w:p w14:paraId="3F8591EF" w14:textId="77777777" w:rsidR="00DF7FDE" w:rsidRDefault="00DF7FDE" w:rsidP="00DF7FDE"/>
    <w:sectPr w:rsidR="00DF7FDE" w:rsidSect="00731556">
      <w:headerReference w:type="even" r:id="rId11"/>
      <w:footerReference w:type="default" r:id="rId12"/>
      <w:headerReference w:type="first" r:id="rId13"/>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AA8DA" w14:textId="77777777" w:rsidR="009A3530" w:rsidRDefault="009A3530" w:rsidP="000A4F25">
      <w:r>
        <w:separator/>
      </w:r>
    </w:p>
  </w:endnote>
  <w:endnote w:type="continuationSeparator" w:id="0">
    <w:p w14:paraId="1776507E" w14:textId="77777777" w:rsidR="009A3530" w:rsidRDefault="009A3530"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54245402"/>
      <w:docPartObj>
        <w:docPartGallery w:val="Page Numbers (Bottom of Page)"/>
        <w:docPartUnique/>
      </w:docPartObj>
    </w:sdtPr>
    <w:sdtEndPr>
      <w:rPr>
        <w:noProof/>
      </w:rPr>
    </w:sdtEndPr>
    <w:sdtContent>
      <w:p w14:paraId="6CA335B4" w14:textId="77777777" w:rsidR="00A6666D"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4C502DB4" w14:textId="77777777" w:rsidR="00A6666D" w:rsidRPr="006420ED" w:rsidRDefault="00A6666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A6113" w14:textId="77777777" w:rsidR="009A3530" w:rsidRDefault="009A3530" w:rsidP="000A4F25">
      <w:r>
        <w:separator/>
      </w:r>
    </w:p>
  </w:footnote>
  <w:footnote w:type="continuationSeparator" w:id="0">
    <w:p w14:paraId="2E71D309" w14:textId="77777777" w:rsidR="009A3530" w:rsidRDefault="009A3530"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301C5" w14:textId="77777777" w:rsidR="00A6666D"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57C3D2" w14:textId="77777777" w:rsidR="00A6666D" w:rsidRDefault="00A66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67"/>
    </w:tblGrid>
    <w:tr w:rsidR="00E668C2" w:rsidRPr="00043DC0" w14:paraId="23A2E987" w14:textId="77777777" w:rsidTr="00BB66F9">
      <w:tc>
        <w:tcPr>
          <w:tcW w:w="3510" w:type="dxa"/>
        </w:tcPr>
        <w:p w14:paraId="143080E6" w14:textId="77777777" w:rsidR="00A6666D" w:rsidRPr="00043DC0" w:rsidRDefault="00A6666D" w:rsidP="001C41D7">
          <w:pPr>
            <w:pStyle w:val="BodyTextIndent"/>
            <w:tabs>
              <w:tab w:val="left" w:pos="4536"/>
            </w:tabs>
            <w:spacing w:after="60"/>
            <w:ind w:firstLine="0"/>
            <w:rPr>
              <w:rFonts w:ascii="Arial" w:hAnsi="Arial" w:cs="Arial"/>
              <w:i/>
              <w:sz w:val="18"/>
              <w:szCs w:val="18"/>
            </w:rPr>
          </w:pPr>
        </w:p>
      </w:tc>
      <w:tc>
        <w:tcPr>
          <w:tcW w:w="6237" w:type="dxa"/>
        </w:tcPr>
        <w:p w14:paraId="23CDA796" w14:textId="77777777" w:rsidR="00A6666D" w:rsidRPr="00043DC0" w:rsidRDefault="00A6666D" w:rsidP="006E1DDF">
          <w:pPr>
            <w:pStyle w:val="Header"/>
            <w:jc w:val="right"/>
            <w:rPr>
              <w:rFonts w:ascii="Arial" w:hAnsi="Arial" w:cs="Arial"/>
              <w:i/>
              <w:sz w:val="18"/>
              <w:szCs w:val="18"/>
            </w:rPr>
          </w:pPr>
        </w:p>
      </w:tc>
    </w:tr>
  </w:tbl>
  <w:p w14:paraId="3BE5B72F" w14:textId="77777777" w:rsidR="00A6666D" w:rsidRPr="00043DC0" w:rsidRDefault="00A6666D"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089426480">
    <w:abstractNumId w:val="4"/>
  </w:num>
  <w:num w:numId="2" w16cid:durableId="2051301298">
    <w:abstractNumId w:val="0"/>
  </w:num>
  <w:num w:numId="3" w16cid:durableId="482165969">
    <w:abstractNumId w:val="6"/>
  </w:num>
  <w:num w:numId="4" w16cid:durableId="1713770881">
    <w:abstractNumId w:val="1"/>
  </w:num>
  <w:num w:numId="5" w16cid:durableId="199054320">
    <w:abstractNumId w:val="5"/>
  </w:num>
  <w:num w:numId="6" w16cid:durableId="1282031230">
    <w:abstractNumId w:val="3"/>
  </w:num>
  <w:num w:numId="7" w16cid:durableId="1274167208">
    <w:abstractNumId w:val="2"/>
  </w:num>
  <w:num w:numId="8" w16cid:durableId="863133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2237C"/>
    <w:rsid w:val="00046386"/>
    <w:rsid w:val="000553A8"/>
    <w:rsid w:val="00056023"/>
    <w:rsid w:val="00065499"/>
    <w:rsid w:val="00080715"/>
    <w:rsid w:val="000A4F25"/>
    <w:rsid w:val="000B015B"/>
    <w:rsid w:val="000B754F"/>
    <w:rsid w:val="000D6D4F"/>
    <w:rsid w:val="000E4CC8"/>
    <w:rsid w:val="000F41DC"/>
    <w:rsid w:val="00122953"/>
    <w:rsid w:val="00127200"/>
    <w:rsid w:val="00141799"/>
    <w:rsid w:val="00143237"/>
    <w:rsid w:val="00144B2F"/>
    <w:rsid w:val="001510CD"/>
    <w:rsid w:val="001734CA"/>
    <w:rsid w:val="0019120D"/>
    <w:rsid w:val="00197C92"/>
    <w:rsid w:val="001A645F"/>
    <w:rsid w:val="001E1135"/>
    <w:rsid w:val="001E24C2"/>
    <w:rsid w:val="001F5DBE"/>
    <w:rsid w:val="002028BC"/>
    <w:rsid w:val="00242517"/>
    <w:rsid w:val="00243064"/>
    <w:rsid w:val="0026327A"/>
    <w:rsid w:val="0026432C"/>
    <w:rsid w:val="002749B7"/>
    <w:rsid w:val="00284655"/>
    <w:rsid w:val="0028530B"/>
    <w:rsid w:val="002854DB"/>
    <w:rsid w:val="0029054A"/>
    <w:rsid w:val="0029055F"/>
    <w:rsid w:val="00294C32"/>
    <w:rsid w:val="002B2304"/>
    <w:rsid w:val="002B7CAB"/>
    <w:rsid w:val="002C3930"/>
    <w:rsid w:val="00312593"/>
    <w:rsid w:val="00323CF6"/>
    <w:rsid w:val="0033118E"/>
    <w:rsid w:val="00336610"/>
    <w:rsid w:val="00340463"/>
    <w:rsid w:val="00342FFF"/>
    <w:rsid w:val="00347ACE"/>
    <w:rsid w:val="003614EC"/>
    <w:rsid w:val="00361F6C"/>
    <w:rsid w:val="00364681"/>
    <w:rsid w:val="00365B37"/>
    <w:rsid w:val="00374D67"/>
    <w:rsid w:val="0037616D"/>
    <w:rsid w:val="003C25FE"/>
    <w:rsid w:val="003C77CF"/>
    <w:rsid w:val="003E0078"/>
    <w:rsid w:val="003E0955"/>
    <w:rsid w:val="003F08B3"/>
    <w:rsid w:val="00402078"/>
    <w:rsid w:val="00431333"/>
    <w:rsid w:val="00442FBA"/>
    <w:rsid w:val="004633C5"/>
    <w:rsid w:val="00472836"/>
    <w:rsid w:val="00484E82"/>
    <w:rsid w:val="00485FD3"/>
    <w:rsid w:val="00492B54"/>
    <w:rsid w:val="004A5FDE"/>
    <w:rsid w:val="004B4486"/>
    <w:rsid w:val="004B6527"/>
    <w:rsid w:val="004C2652"/>
    <w:rsid w:val="004C7B26"/>
    <w:rsid w:val="00506671"/>
    <w:rsid w:val="00527081"/>
    <w:rsid w:val="00527D44"/>
    <w:rsid w:val="005339C4"/>
    <w:rsid w:val="00551F0F"/>
    <w:rsid w:val="0056651A"/>
    <w:rsid w:val="00566A70"/>
    <w:rsid w:val="0056715F"/>
    <w:rsid w:val="00573B0A"/>
    <w:rsid w:val="0057593A"/>
    <w:rsid w:val="005764F0"/>
    <w:rsid w:val="00593A21"/>
    <w:rsid w:val="005945BC"/>
    <w:rsid w:val="005A0ECB"/>
    <w:rsid w:val="005C1AB9"/>
    <w:rsid w:val="005D0FA8"/>
    <w:rsid w:val="005E1601"/>
    <w:rsid w:val="005E3A21"/>
    <w:rsid w:val="005E4E2B"/>
    <w:rsid w:val="005F4767"/>
    <w:rsid w:val="006469AE"/>
    <w:rsid w:val="006502CE"/>
    <w:rsid w:val="00651927"/>
    <w:rsid w:val="00654C3F"/>
    <w:rsid w:val="00676BB8"/>
    <w:rsid w:val="006819EF"/>
    <w:rsid w:val="006B1ACB"/>
    <w:rsid w:val="006C76FE"/>
    <w:rsid w:val="006E2BFB"/>
    <w:rsid w:val="006E502C"/>
    <w:rsid w:val="006E7E91"/>
    <w:rsid w:val="006F2EEF"/>
    <w:rsid w:val="006F30F6"/>
    <w:rsid w:val="00714822"/>
    <w:rsid w:val="00721D93"/>
    <w:rsid w:val="00724ECC"/>
    <w:rsid w:val="00731556"/>
    <w:rsid w:val="0073190E"/>
    <w:rsid w:val="0073327B"/>
    <w:rsid w:val="00733827"/>
    <w:rsid w:val="0073787D"/>
    <w:rsid w:val="00747092"/>
    <w:rsid w:val="00756D29"/>
    <w:rsid w:val="00777AF3"/>
    <w:rsid w:val="0078273F"/>
    <w:rsid w:val="00793708"/>
    <w:rsid w:val="00794FAA"/>
    <w:rsid w:val="007B0FCC"/>
    <w:rsid w:val="007B3A48"/>
    <w:rsid w:val="007C1B5A"/>
    <w:rsid w:val="007D497E"/>
    <w:rsid w:val="007D5B84"/>
    <w:rsid w:val="007F5BCF"/>
    <w:rsid w:val="007F676C"/>
    <w:rsid w:val="007F7236"/>
    <w:rsid w:val="00806ECB"/>
    <w:rsid w:val="00806F22"/>
    <w:rsid w:val="008122C8"/>
    <w:rsid w:val="00815DEC"/>
    <w:rsid w:val="00816307"/>
    <w:rsid w:val="0081734D"/>
    <w:rsid w:val="00821E2D"/>
    <w:rsid w:val="00830F1A"/>
    <w:rsid w:val="00841C05"/>
    <w:rsid w:val="008465C7"/>
    <w:rsid w:val="008879D8"/>
    <w:rsid w:val="008A4A13"/>
    <w:rsid w:val="008B7E9D"/>
    <w:rsid w:val="008C630D"/>
    <w:rsid w:val="008D7B86"/>
    <w:rsid w:val="008D7C96"/>
    <w:rsid w:val="008E699D"/>
    <w:rsid w:val="00901FAB"/>
    <w:rsid w:val="0090699D"/>
    <w:rsid w:val="00912B22"/>
    <w:rsid w:val="00921A68"/>
    <w:rsid w:val="00944CA3"/>
    <w:rsid w:val="00965FD3"/>
    <w:rsid w:val="00990AC0"/>
    <w:rsid w:val="009A3530"/>
    <w:rsid w:val="009B1E6E"/>
    <w:rsid w:val="009B6930"/>
    <w:rsid w:val="009B7D77"/>
    <w:rsid w:val="009D5822"/>
    <w:rsid w:val="009E0568"/>
    <w:rsid w:val="009E4B11"/>
    <w:rsid w:val="009E5E65"/>
    <w:rsid w:val="009F5126"/>
    <w:rsid w:val="00A042E7"/>
    <w:rsid w:val="00A05FCE"/>
    <w:rsid w:val="00A10F12"/>
    <w:rsid w:val="00A11B28"/>
    <w:rsid w:val="00A149B9"/>
    <w:rsid w:val="00A16444"/>
    <w:rsid w:val="00A26E66"/>
    <w:rsid w:val="00A430DA"/>
    <w:rsid w:val="00A52143"/>
    <w:rsid w:val="00A5330E"/>
    <w:rsid w:val="00A55C10"/>
    <w:rsid w:val="00A6666D"/>
    <w:rsid w:val="00A70CF0"/>
    <w:rsid w:val="00A73005"/>
    <w:rsid w:val="00A741CE"/>
    <w:rsid w:val="00A775A9"/>
    <w:rsid w:val="00A82670"/>
    <w:rsid w:val="00AA0FB1"/>
    <w:rsid w:val="00AB097A"/>
    <w:rsid w:val="00AB5C3E"/>
    <w:rsid w:val="00AC4805"/>
    <w:rsid w:val="00AD0D7E"/>
    <w:rsid w:val="00AE2680"/>
    <w:rsid w:val="00AE7229"/>
    <w:rsid w:val="00AF138D"/>
    <w:rsid w:val="00AF330E"/>
    <w:rsid w:val="00AF5EDC"/>
    <w:rsid w:val="00B024E2"/>
    <w:rsid w:val="00B14989"/>
    <w:rsid w:val="00B26B69"/>
    <w:rsid w:val="00B414D7"/>
    <w:rsid w:val="00B66E05"/>
    <w:rsid w:val="00B9022D"/>
    <w:rsid w:val="00B94FBA"/>
    <w:rsid w:val="00BA3C5A"/>
    <w:rsid w:val="00BA49F1"/>
    <w:rsid w:val="00BB2701"/>
    <w:rsid w:val="00BC492E"/>
    <w:rsid w:val="00BD0689"/>
    <w:rsid w:val="00BD16B4"/>
    <w:rsid w:val="00BD4260"/>
    <w:rsid w:val="00BD475F"/>
    <w:rsid w:val="00BF5FD2"/>
    <w:rsid w:val="00BF60B9"/>
    <w:rsid w:val="00BF770D"/>
    <w:rsid w:val="00C01A50"/>
    <w:rsid w:val="00C02154"/>
    <w:rsid w:val="00C03326"/>
    <w:rsid w:val="00C037C3"/>
    <w:rsid w:val="00C06CDE"/>
    <w:rsid w:val="00C20DC9"/>
    <w:rsid w:val="00C277D0"/>
    <w:rsid w:val="00C3628A"/>
    <w:rsid w:val="00C9171D"/>
    <w:rsid w:val="00C92DDF"/>
    <w:rsid w:val="00C94625"/>
    <w:rsid w:val="00CA083B"/>
    <w:rsid w:val="00CA76D5"/>
    <w:rsid w:val="00CB1ADD"/>
    <w:rsid w:val="00CC15C6"/>
    <w:rsid w:val="00CD2514"/>
    <w:rsid w:val="00CF0C14"/>
    <w:rsid w:val="00CF1DDC"/>
    <w:rsid w:val="00CF4936"/>
    <w:rsid w:val="00CF5A91"/>
    <w:rsid w:val="00CF694E"/>
    <w:rsid w:val="00D01489"/>
    <w:rsid w:val="00D10DC0"/>
    <w:rsid w:val="00D12A2F"/>
    <w:rsid w:val="00D25BB5"/>
    <w:rsid w:val="00D37436"/>
    <w:rsid w:val="00D42EA6"/>
    <w:rsid w:val="00D51405"/>
    <w:rsid w:val="00D51712"/>
    <w:rsid w:val="00D72706"/>
    <w:rsid w:val="00DB0B1F"/>
    <w:rsid w:val="00DD0781"/>
    <w:rsid w:val="00DD13B0"/>
    <w:rsid w:val="00DD5172"/>
    <w:rsid w:val="00DD7FCF"/>
    <w:rsid w:val="00DE0406"/>
    <w:rsid w:val="00DF2AA4"/>
    <w:rsid w:val="00DF7FDE"/>
    <w:rsid w:val="00E00A40"/>
    <w:rsid w:val="00E251E7"/>
    <w:rsid w:val="00E33FA5"/>
    <w:rsid w:val="00E45414"/>
    <w:rsid w:val="00E53F0D"/>
    <w:rsid w:val="00E56661"/>
    <w:rsid w:val="00E86C92"/>
    <w:rsid w:val="00E96636"/>
    <w:rsid w:val="00EC06E3"/>
    <w:rsid w:val="00EC241B"/>
    <w:rsid w:val="00EC43CB"/>
    <w:rsid w:val="00EC7DD3"/>
    <w:rsid w:val="00EE0694"/>
    <w:rsid w:val="00EF0C67"/>
    <w:rsid w:val="00F04FAA"/>
    <w:rsid w:val="00F21801"/>
    <w:rsid w:val="00F25541"/>
    <w:rsid w:val="00F37FBF"/>
    <w:rsid w:val="00F704D8"/>
    <w:rsid w:val="00F712F1"/>
    <w:rsid w:val="00F74E53"/>
    <w:rsid w:val="00F904EF"/>
    <w:rsid w:val="00F91762"/>
    <w:rsid w:val="00FB63AF"/>
    <w:rsid w:val="00FC4115"/>
    <w:rsid w:val="00FD4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4CA"/>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4547</TotalTime>
  <Pages>8</Pages>
  <Words>17487</Words>
  <Characters>9969</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77</cp:revision>
  <dcterms:created xsi:type="dcterms:W3CDTF">2019-10-07T12:53:00Z</dcterms:created>
  <dcterms:modified xsi:type="dcterms:W3CDTF">2024-08-26T12:52:00Z</dcterms:modified>
</cp:coreProperties>
</file>