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1B3F79FE" w:rsidR="008A6212" w:rsidRPr="00D05ECD" w:rsidRDefault="006E0709" w:rsidP="008A6212">
      <w:pPr>
        <w:jc w:val="both"/>
        <w:rPr>
          <w:rFonts w:ascii="Arial" w:hAnsi="Arial" w:cs="Arial"/>
          <w:b/>
        </w:rPr>
      </w:pPr>
      <w:r w:rsidRPr="006E070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UAB „Ignitis</w:t>
      </w:r>
      <w:r w:rsidRPr="00B545B8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“</w:t>
      </w:r>
      <w:r w:rsidR="00D324D2" w:rsidRPr="00B545B8">
        <w:rPr>
          <w:rFonts w:ascii="Arial" w:hAnsi="Arial" w:cs="Arial"/>
          <w:color w:val="000000"/>
          <w:lang w:eastAsia="lt-LT"/>
        </w:rPr>
        <w:t>, pagal Lietuvos Respublikos įstatymus įsteigta ir veikianti uždaroji akcinė bendrovė, juridinio asmens kodas </w:t>
      </w:r>
      <w:r w:rsidR="001E19F3" w:rsidRPr="00B545B8">
        <w:rPr>
          <w:rFonts w:ascii="Arial" w:hAnsi="Arial" w:cs="Arial"/>
          <w:color w:val="000000"/>
          <w:lang w:eastAsia="lt-LT"/>
        </w:rPr>
        <w:t>303383884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PVM mokėtojo kodas LT </w:t>
      </w:r>
      <w:r w:rsidR="00B545B8" w:rsidRPr="00B545B8">
        <w:rPr>
          <w:rFonts w:ascii="Arial" w:hAnsi="Arial" w:cs="Arial"/>
          <w:color w:val="000000"/>
          <w:lang w:eastAsia="lt-LT"/>
        </w:rPr>
        <w:t>LT100008860617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registruotos buveinės adresas Laisvės pr. 10, LT-04215 Vilnius, Lietuvos Respublika, apie kurią duomenys kaupiami ir saugomi VĮ Registrų centras, atstovaujama </w:t>
      </w:r>
      <w:r w:rsidR="00B545B8" w:rsidRPr="00B545B8">
        <w:rPr>
          <w:rFonts w:ascii="Arial" w:hAnsi="Arial" w:cs="Arial"/>
          <w:color w:val="000000"/>
          <w:lang w:eastAsia="lt-LT"/>
        </w:rPr>
        <w:t>generalinis direktorius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 </w:t>
      </w:r>
      <w:r w:rsidR="00F642F7" w:rsidRPr="00B545B8">
        <w:rPr>
          <w:rFonts w:ascii="Arial" w:hAnsi="Arial" w:cs="Arial"/>
          <w:color w:val="000000"/>
          <w:lang w:eastAsia="lt-LT"/>
        </w:rPr>
        <w:t>Artūras Bortkevičius</w:t>
      </w:r>
      <w:r w:rsidR="00D324D2" w:rsidRPr="00B545B8">
        <w:rPr>
          <w:rFonts w:ascii="Arial" w:hAnsi="Arial" w:cs="Arial"/>
          <w:color w:val="000000"/>
          <w:lang w:eastAsia="lt-LT"/>
        </w:rPr>
        <w:t xml:space="preserve">, veikiančio pagal Paslaugų teikėjo įstatus </w:t>
      </w:r>
      <w:r w:rsidR="007C22A3" w:rsidRPr="00B545B8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C17AAC9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290A47" w:rsidRPr="00290A47">
        <w:rPr>
          <w:rFonts w:ascii="Arial" w:hAnsi="Arial" w:cs="Arial"/>
        </w:rPr>
        <w:t>turto valdymo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00EE4107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547E92" w:rsidRPr="00547E92">
        <w:rPr>
          <w:rFonts w:ascii="Arial" w:hAnsi="Arial" w:cs="Arial"/>
        </w:rPr>
        <w:t>484000,00</w:t>
      </w:r>
      <w:r w:rsidRPr="005A00AF">
        <w:rPr>
          <w:rFonts w:ascii="Arial" w:hAnsi="Arial" w:cs="Arial"/>
        </w:rPr>
        <w:t xml:space="preserve"> eurų (</w:t>
      </w:r>
      <w:r w:rsidR="00547E92">
        <w:rPr>
          <w:rFonts w:ascii="Arial" w:hAnsi="Arial" w:cs="Arial"/>
        </w:rPr>
        <w:t xml:space="preserve">keturi </w:t>
      </w:r>
      <w:r w:rsidR="007D3ADE">
        <w:rPr>
          <w:rFonts w:ascii="Arial" w:hAnsi="Arial" w:cs="Arial"/>
        </w:rPr>
        <w:t>šimtai aštuoniasdešimt keturi tūkstančiai</w:t>
      </w:r>
      <w:r w:rsidRPr="005A00AF">
        <w:rPr>
          <w:rFonts w:ascii="Arial" w:hAnsi="Arial" w:cs="Arial"/>
        </w:rPr>
        <w:t xml:space="preserve"> eurų </w:t>
      </w:r>
      <w:r w:rsidR="007D3ADE">
        <w:rPr>
          <w:rFonts w:ascii="Arial" w:hAnsi="Arial" w:cs="Arial"/>
        </w:rPr>
        <w:t xml:space="preserve">0 </w:t>
      </w:r>
      <w:r w:rsidRPr="005A00AF">
        <w:rPr>
          <w:rFonts w:ascii="Arial" w:hAnsi="Arial" w:cs="Arial"/>
        </w:rPr>
        <w:t>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4947DF70" w:rsidR="00101D65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Paslaugų kaina</w:t>
      </w:r>
      <w:r w:rsidR="002E077A" w:rsidRPr="001759EC">
        <w:rPr>
          <w:rFonts w:ascii="Arial" w:hAnsi="Arial" w:cs="Arial"/>
        </w:rPr>
        <w:t>:</w:t>
      </w:r>
      <w:r w:rsidRPr="001759EC">
        <w:rPr>
          <w:rFonts w:ascii="Arial" w:hAnsi="Arial" w:cs="Arial"/>
        </w:rPr>
        <w:t xml:space="preserve"> </w:t>
      </w:r>
      <w:r w:rsidR="000D6BCE" w:rsidRPr="001759EC">
        <w:rPr>
          <w:rFonts w:ascii="Arial" w:hAnsi="Arial" w:cs="Arial"/>
        </w:rPr>
        <w:t>400000</w:t>
      </w:r>
      <w:r w:rsidR="00234F32" w:rsidRPr="001759EC">
        <w:rPr>
          <w:rFonts w:ascii="Arial" w:hAnsi="Arial" w:cs="Arial"/>
        </w:rPr>
        <w:t>,</w:t>
      </w:r>
      <w:r w:rsidR="000D6BCE" w:rsidRPr="001759EC">
        <w:rPr>
          <w:rFonts w:ascii="Arial" w:hAnsi="Arial" w:cs="Arial"/>
        </w:rPr>
        <w:t>00</w:t>
      </w:r>
      <w:r w:rsidR="00234F32" w:rsidRPr="001759EC">
        <w:rPr>
          <w:rFonts w:ascii="Arial" w:hAnsi="Arial" w:cs="Arial"/>
        </w:rPr>
        <w:t xml:space="preserve"> eurų (</w:t>
      </w:r>
      <w:r w:rsidR="00426BE3" w:rsidRPr="001759EC">
        <w:rPr>
          <w:rFonts w:ascii="Arial" w:hAnsi="Arial" w:cs="Arial"/>
        </w:rPr>
        <w:t xml:space="preserve">keturi </w:t>
      </w:r>
      <w:proofErr w:type="spellStart"/>
      <w:r w:rsidR="00426BE3" w:rsidRPr="001759EC">
        <w:rPr>
          <w:rFonts w:ascii="Arial" w:hAnsi="Arial" w:cs="Arial"/>
        </w:rPr>
        <w:t>šimatai</w:t>
      </w:r>
      <w:proofErr w:type="spellEnd"/>
      <w:r w:rsidR="00426BE3" w:rsidRPr="001759EC">
        <w:rPr>
          <w:rFonts w:ascii="Arial" w:hAnsi="Arial" w:cs="Arial"/>
        </w:rPr>
        <w:t xml:space="preserve"> tūkstančių </w:t>
      </w:r>
      <w:r w:rsidR="00234F32" w:rsidRPr="001759EC">
        <w:rPr>
          <w:rFonts w:ascii="Arial" w:hAnsi="Arial" w:cs="Arial"/>
        </w:rPr>
        <w:t xml:space="preserve">eurų </w:t>
      </w:r>
      <w:r w:rsidR="00547E92" w:rsidRPr="001759EC">
        <w:rPr>
          <w:rFonts w:ascii="Arial" w:hAnsi="Arial" w:cs="Arial"/>
        </w:rPr>
        <w:t xml:space="preserve">0 </w:t>
      </w:r>
      <w:r w:rsidR="00234F32" w:rsidRPr="001759EC">
        <w:rPr>
          <w:rFonts w:ascii="Arial" w:hAnsi="Arial" w:cs="Arial"/>
        </w:rPr>
        <w:t>euro ct)</w:t>
      </w:r>
      <w:r w:rsidRPr="001759EC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6B004EBB" w:rsidR="00380A8F" w:rsidRPr="00547E92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 xml:space="preserve">kainos) - </w:t>
      </w:r>
      <w:r w:rsidRPr="00547E92">
        <w:rPr>
          <w:rFonts w:ascii="Arial" w:hAnsi="Arial" w:cs="Arial"/>
        </w:rPr>
        <w:t>(</w:t>
      </w:r>
      <w:r w:rsidR="0033211F" w:rsidRPr="00547E92">
        <w:rPr>
          <w:rFonts w:ascii="Arial" w:hAnsi="Arial" w:cs="Arial"/>
        </w:rPr>
        <w:t xml:space="preserve">keturiasdešimt tūkstančių </w:t>
      </w:r>
      <w:r w:rsidRPr="00547E92">
        <w:rPr>
          <w:rFonts w:ascii="Arial" w:hAnsi="Arial" w:cs="Arial"/>
        </w:rPr>
        <w:t xml:space="preserve">eurų </w:t>
      </w:r>
      <w:r w:rsidR="00547E92" w:rsidRPr="00547E92">
        <w:rPr>
          <w:rFonts w:ascii="Arial" w:hAnsi="Arial" w:cs="Arial"/>
        </w:rPr>
        <w:t>0</w:t>
      </w:r>
      <w:r w:rsidRPr="00547E92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B0CD7C6" w:rsidR="00114CCC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>jos pasirašymo dieną, bet ne anksčiau kaip 202</w:t>
      </w:r>
      <w:r w:rsidR="001759EC" w:rsidRPr="001759EC">
        <w:rPr>
          <w:rFonts w:ascii="Arial" w:hAnsi="Arial" w:cs="Arial"/>
        </w:rPr>
        <w:t>2</w:t>
      </w:r>
      <w:r w:rsidR="00843940" w:rsidRPr="001759EC">
        <w:rPr>
          <w:rFonts w:ascii="Arial" w:hAnsi="Arial" w:cs="Arial"/>
        </w:rPr>
        <w:t xml:space="preserve"> m. </w:t>
      </w:r>
      <w:r w:rsidR="001759EC" w:rsidRPr="001759EC">
        <w:rPr>
          <w:rFonts w:ascii="Arial" w:hAnsi="Arial" w:cs="Arial"/>
        </w:rPr>
        <w:t>sausio</w:t>
      </w:r>
      <w:r w:rsidR="00843940" w:rsidRPr="001759EC">
        <w:rPr>
          <w:rFonts w:ascii="Arial" w:hAnsi="Arial" w:cs="Arial"/>
        </w:rPr>
        <w:t xml:space="preserve"> 1 d</w:t>
      </w:r>
      <w:r w:rsidRPr="001759EC">
        <w:rPr>
          <w:rFonts w:ascii="Arial" w:hAnsi="Arial" w:cs="Arial"/>
        </w:rPr>
        <w:t>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7B5EDF9F" w14:textId="4BC14FBD" w:rsidR="00AB74CD" w:rsidRPr="00E6580C" w:rsidRDefault="00322777" w:rsidP="004A2006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E6580C">
        <w:rPr>
          <w:rFonts w:ascii="Arial" w:hAnsi="Arial" w:cs="Arial"/>
        </w:rPr>
        <w:t xml:space="preserve">Užsakovo </w:t>
      </w:r>
      <w:r w:rsidR="00943F34" w:rsidRPr="00E6580C">
        <w:rPr>
          <w:rFonts w:ascii="Arial" w:hAnsi="Arial" w:cs="Arial"/>
        </w:rPr>
        <w:t>atstovų, kurie bus atsakingi už šios Sutarties vykdymą, kontaktai:</w:t>
      </w:r>
      <w:r w:rsidR="005D3E53" w:rsidRPr="00E6580C">
        <w:rPr>
          <w:rFonts w:ascii="Arial" w:hAnsi="Arial" w:cs="Arial"/>
        </w:rPr>
        <w:t xml:space="preserve"> </w:t>
      </w:r>
    </w:p>
    <w:p w14:paraId="252240FC" w14:textId="4B8B4CFC" w:rsidR="00D11319" w:rsidRPr="009D56FB" w:rsidRDefault="00943F34" w:rsidP="009D56FB">
      <w:pPr>
        <w:pStyle w:val="ListParagraph"/>
        <w:numPr>
          <w:ilvl w:val="1"/>
          <w:numId w:val="40"/>
        </w:numPr>
        <w:ind w:left="0" w:firstLine="0"/>
        <w:rPr>
          <w:rFonts w:ascii="Arial" w:hAnsi="Arial" w:cs="Arial"/>
          <w:b/>
        </w:rPr>
      </w:pPr>
      <w:r w:rsidRPr="009D56FB">
        <w:rPr>
          <w:rFonts w:ascii="Arial" w:hAnsi="Arial" w:cs="Arial"/>
        </w:rPr>
        <w:t xml:space="preserve">Paslaugų teikėjo atstovų, kurie bus atsakingi už šios Sutarties vykdymą, kontaktai: </w:t>
      </w:r>
    </w:p>
    <w:p w14:paraId="3A1535B8" w14:textId="77777777" w:rsidR="009D56FB" w:rsidRPr="009D56FB" w:rsidRDefault="009D56FB" w:rsidP="009D56FB">
      <w:pPr>
        <w:pStyle w:val="ListParagraph"/>
        <w:ind w:left="0"/>
        <w:rPr>
          <w:rFonts w:ascii="Arial" w:hAnsi="Arial" w:cs="Arial"/>
          <w:b/>
        </w:rPr>
      </w:pPr>
    </w:p>
    <w:p w14:paraId="6B588760" w14:textId="02C49B6D" w:rsidR="006A54C9" w:rsidRDefault="009D56FB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6A54C9" w:rsidRPr="002419B5">
        <w:rPr>
          <w:rFonts w:ascii="Arial" w:hAnsi="Arial" w:cs="Arial"/>
          <w:b/>
        </w:rPr>
        <w:t>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2E555A34" w:rsidR="008738BC" w:rsidRPr="003D0A28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 xml:space="preserve">Priedas Nr. 4 – </w:t>
      </w:r>
      <w:r w:rsidR="00E27599">
        <w:rPr>
          <w:rFonts w:ascii="Arial" w:hAnsi="Arial" w:cs="Arial"/>
        </w:rPr>
        <w:t>TURTO VALDYMO</w:t>
      </w:r>
      <w:r w:rsidR="008738BC" w:rsidRPr="003D0A28">
        <w:rPr>
          <w:rFonts w:ascii="Arial" w:hAnsi="Arial" w:cs="Arial"/>
        </w:rPr>
        <w:t xml:space="preserve"> PASLAUGŲ TEIKIMAS</w:t>
      </w:r>
      <w:r w:rsidR="00293997" w:rsidRPr="003D0A28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3D0A28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3D0A28">
              <w:rPr>
                <w:rFonts w:ascii="Arial" w:hAnsi="Arial" w:cs="Arial"/>
                <w:b/>
              </w:rPr>
              <w:t>Užsakovas</w:t>
            </w:r>
          </w:p>
          <w:p w14:paraId="0DE34532" w14:textId="77777777" w:rsidR="005949D7" w:rsidRDefault="005949D7" w:rsidP="00061D10">
            <w:pPr>
              <w:rPr>
                <w:rFonts w:ascii="Arial" w:hAnsi="Arial" w:cs="Arial"/>
              </w:rPr>
            </w:pPr>
            <w:r w:rsidRPr="005949D7">
              <w:rPr>
                <w:rFonts w:ascii="Arial" w:hAnsi="Arial" w:cs="Arial"/>
              </w:rPr>
              <w:t>UAB „Ignitis“</w:t>
            </w:r>
          </w:p>
          <w:p w14:paraId="13310035" w14:textId="77777777" w:rsidR="001A041C" w:rsidRPr="005449F8" w:rsidRDefault="001A041C" w:rsidP="001A041C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Pr="00E43A82" w:rsidDel="008831E2">
              <w:rPr>
                <w:rFonts w:ascii="Arial" w:hAnsi="Arial" w:cs="Arial"/>
              </w:rPr>
              <w:t xml:space="preserve"> </w:t>
            </w:r>
            <w:r w:rsidRPr="00E43A82">
              <w:rPr>
                <w:rFonts w:ascii="Arial" w:hAnsi="Arial" w:cs="Arial"/>
              </w:rPr>
              <w:t>Vilnius</w:t>
            </w:r>
          </w:p>
          <w:p w14:paraId="59E1BE5B" w14:textId="359475C9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>
              <w:rPr>
                <w:rFonts w:ascii="Arial" w:hAnsi="Arial" w:cs="Arial"/>
              </w:rPr>
              <w:t>-</w:t>
            </w:r>
          </w:p>
          <w:p w14:paraId="44508AE1" w14:textId="7CBA9676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0F38CD" w:rsidRPr="000F38CD">
              <w:rPr>
                <w:rFonts w:ascii="Arial" w:hAnsi="Arial" w:cs="Arial"/>
                <w:iCs/>
              </w:rPr>
              <w:t>303383884</w:t>
            </w:r>
          </w:p>
          <w:p w14:paraId="60ECA56A" w14:textId="6A9149DA" w:rsidR="001A041C" w:rsidRPr="007E2AED" w:rsidRDefault="001A041C" w:rsidP="001A041C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1E19F3" w:rsidRPr="000F38CD">
              <w:rPr>
                <w:rFonts w:ascii="Arial" w:hAnsi="Arial" w:cs="Arial"/>
              </w:rPr>
              <w:t>LT100008860617</w:t>
            </w:r>
          </w:p>
          <w:p w14:paraId="57ED3A1D" w14:textId="77777777" w:rsidR="00DB06F0" w:rsidRPr="00670010" w:rsidRDefault="00DB06F0" w:rsidP="00061D10">
            <w:pPr>
              <w:tabs>
                <w:tab w:val="left" w:pos="0"/>
              </w:tabs>
              <w:rPr>
                <w:rFonts w:ascii="Arial" w:hAnsi="Arial" w:cs="Arial"/>
                <w:highlight w:val="yellow"/>
              </w:rPr>
            </w:pPr>
          </w:p>
          <w:p w14:paraId="73EE21A2" w14:textId="77777777" w:rsidR="00F10F17" w:rsidRPr="00670010" w:rsidRDefault="00F10F17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  <w:highlight w:val="yellow"/>
              </w:rPr>
            </w:pPr>
          </w:p>
          <w:p w14:paraId="71EBF0AD" w14:textId="77777777" w:rsidR="00764A2F" w:rsidRPr="003D0A28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3D0A28">
              <w:rPr>
                <w:rFonts w:ascii="Arial" w:hAnsi="Arial" w:cs="Arial"/>
              </w:rPr>
              <w:t>_____________________________________</w:t>
            </w:r>
          </w:p>
          <w:p w14:paraId="059360B2" w14:textId="3F78880E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Generalinis direktorius</w:t>
            </w:r>
          </w:p>
          <w:p w14:paraId="01F13CC6" w14:textId="59B5B247" w:rsidR="005D3E53" w:rsidRPr="003D0A28" w:rsidRDefault="000837A2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Artūras Bortkevičius</w:t>
            </w:r>
          </w:p>
          <w:p w14:paraId="2477D605" w14:textId="77777777" w:rsidR="00F87CF0" w:rsidRPr="00670010" w:rsidRDefault="00F87CF0" w:rsidP="00060A5D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highlight w:val="yellow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F7ADC" w14:textId="77777777" w:rsidR="00B968B8" w:rsidRDefault="00B968B8">
      <w:r>
        <w:separator/>
      </w:r>
    </w:p>
  </w:endnote>
  <w:endnote w:type="continuationSeparator" w:id="0">
    <w:p w14:paraId="2BF9B2F9" w14:textId="77777777" w:rsidR="00B968B8" w:rsidRDefault="00B968B8">
      <w:r>
        <w:continuationSeparator/>
      </w:r>
    </w:p>
  </w:endnote>
  <w:endnote w:type="continuationNotice" w:id="1">
    <w:p w14:paraId="1915FB0A" w14:textId="77777777" w:rsidR="00B968B8" w:rsidRDefault="00B968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07B26" w14:textId="77777777" w:rsidR="00C2421E" w:rsidRDefault="00C242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015DA" w14:textId="77777777" w:rsidR="00C2421E" w:rsidRDefault="00C24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584BD" w14:textId="77777777" w:rsidR="00B968B8" w:rsidRDefault="00B968B8">
      <w:r>
        <w:separator/>
      </w:r>
    </w:p>
  </w:footnote>
  <w:footnote w:type="continuationSeparator" w:id="0">
    <w:p w14:paraId="6F26CED7" w14:textId="77777777" w:rsidR="00B968B8" w:rsidRDefault="00B968B8">
      <w:r>
        <w:continuationSeparator/>
      </w:r>
    </w:p>
  </w:footnote>
  <w:footnote w:type="continuationNotice" w:id="1">
    <w:p w14:paraId="4C0DD958" w14:textId="77777777" w:rsidR="00B968B8" w:rsidRDefault="00B968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BB77172" w:rsidR="00145378" w:rsidRDefault="0014537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6CCC1110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6FB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80C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794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42</cp:revision>
  <cp:lastPrinted>2012-11-13T17:36:00Z</cp:lastPrinted>
  <dcterms:created xsi:type="dcterms:W3CDTF">2021-11-17T08:28:00Z</dcterms:created>
  <dcterms:modified xsi:type="dcterms:W3CDTF">2022-01-10T09:55:00Z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