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EB" w:rsidRDefault="008A376B" w:rsidP="000112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 w:eastAsia="lt-LT"/>
        </w:rPr>
      </w:pPr>
      <w:r w:rsidRPr="007731EE">
        <w:rPr>
          <w:rFonts w:ascii="Times New Roman" w:eastAsia="Times New Roman" w:hAnsi="Times New Roman" w:cs="Times New Roman"/>
          <w:spacing w:val="-4"/>
          <w:sz w:val="24"/>
          <w:szCs w:val="24"/>
          <w:lang w:val="lt-LT" w:eastAsia="lt-LT"/>
        </w:rPr>
        <w:t xml:space="preserve">Pirkimo sąlygų </w:t>
      </w:r>
      <w:r w:rsidRPr="00EA738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 w:eastAsia="lt-LT"/>
        </w:rPr>
        <w:t>2 priedas</w:t>
      </w:r>
    </w:p>
    <w:p w:rsidR="00BC12AC" w:rsidRDefault="008A376B" w:rsidP="001A24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A2498">
        <w:rPr>
          <w:rFonts w:ascii="Times New Roman" w:hAnsi="Times New Roman" w:cs="Times New Roman"/>
          <w:b/>
          <w:sz w:val="24"/>
          <w:szCs w:val="24"/>
          <w:lang w:val="lt-LT"/>
        </w:rPr>
        <w:t>Prekių techninė specifikacija</w:t>
      </w:r>
    </w:p>
    <w:tbl>
      <w:tblPr>
        <w:tblW w:w="14142" w:type="dxa"/>
        <w:tblLook w:val="04A0" w:firstRow="1" w:lastRow="0" w:firstColumn="1" w:lastColumn="0" w:noHBand="0" w:noVBand="1"/>
      </w:tblPr>
      <w:tblGrid>
        <w:gridCol w:w="991"/>
        <w:gridCol w:w="1723"/>
        <w:gridCol w:w="1080"/>
        <w:gridCol w:w="3685"/>
        <w:gridCol w:w="3969"/>
        <w:gridCol w:w="2694"/>
      </w:tblGrid>
      <w:tr w:rsidR="00F335D0" w:rsidRPr="00F335D0" w:rsidTr="006B39DC">
        <w:trPr>
          <w:trHeight w:val="59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D0" w:rsidRPr="00F335D0" w:rsidRDefault="00F335D0" w:rsidP="00F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Pirkimo dalis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35D0" w:rsidRPr="00F335D0" w:rsidRDefault="00F335D0" w:rsidP="00F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Pavadinimas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5D0" w:rsidRPr="00F335D0" w:rsidRDefault="00F335D0" w:rsidP="00F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5D0" w:rsidRPr="00F335D0" w:rsidRDefault="00F335D0" w:rsidP="00F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Reikalavimai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D0" w:rsidRPr="00F335D0" w:rsidRDefault="00F335D0" w:rsidP="00F3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Siūlomų prekių parametrai (</w:t>
            </w:r>
            <w:r w:rsidRPr="008A376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įrašo tiekėjas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D0" w:rsidRPr="00F335D0" w:rsidRDefault="00F335D0" w:rsidP="00F33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Siūlomų prekių pavadinimas/gamintojas (</w:t>
            </w:r>
            <w:r w:rsidRPr="008A376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įrašo tiekėjas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F335D0" w:rsidRPr="00F335D0" w:rsidTr="000E21F7">
        <w:trPr>
          <w:trHeight w:val="54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D0" w:rsidRPr="00F335D0" w:rsidRDefault="00F335D0" w:rsidP="00302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131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D0" w:rsidRPr="00F335D0" w:rsidRDefault="00F335D0" w:rsidP="00F3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Medicininiai instrumentai oftolmologams:</w:t>
            </w: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F335D0" w:rsidRPr="00F335D0" w:rsidTr="006B39DC">
        <w:trPr>
          <w:trHeight w:val="139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D0" w:rsidRPr="00F335D0" w:rsidRDefault="00F335D0" w:rsidP="00302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35D0" w:rsidRPr="00F335D0" w:rsidRDefault="00F335D0" w:rsidP="00302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Kapsuloreksės pincetai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5D0" w:rsidRPr="00F335D0" w:rsidRDefault="00F335D0" w:rsidP="0030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5D0" w:rsidRPr="00F335D0" w:rsidRDefault="00F335D0" w:rsidP="003024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Oftalmologinis Utrata tipo arba lygiavertis kapsuloreksio pincetas su labai smulkiais trikampio formos sugriebimo galiukais ir 12 mm ± 0,25 mm ilgio ypatingai plona skirta 1,8 mm MICS procedūrai, pakelta rankenos atžvilgiu darbine dalimi, plokščia gruoblėta rankena, 87 mm ± 3 mm ilgio, nerūdijančio metalo, daugkartinio naudojimo.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D0" w:rsidRPr="00F335D0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Oftalmologinis Utrata tipo kapsuloreksio pincetas su labai smulkiais trikampio formos sugriebimo galiukais ir 12 mm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gio ypatingai plona skirta 1,8 mm MICS procedūrai, pakelta rankenos atžvilgiu darbine dalimi, plokščia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gruoblėta rankena, 87 mm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ilgio, nerūdijančio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plieno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daugkartinio naudojimo.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D0" w:rsidRDefault="00FB629E" w:rsidP="00FB62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E2002 F</w:t>
            </w:r>
          </w:p>
          <w:p w:rsidR="00FB629E" w:rsidRPr="00F335D0" w:rsidRDefault="00FB629E" w:rsidP="00FB62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Bausch&amp;Lomb Inc.</w:t>
            </w:r>
          </w:p>
        </w:tc>
      </w:tr>
      <w:tr w:rsidR="00FB629E" w:rsidRPr="00F335D0" w:rsidTr="006B39DC">
        <w:trPr>
          <w:trHeight w:val="1122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29E" w:rsidRPr="00F335D0" w:rsidRDefault="00FB629E" w:rsidP="00FB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629E" w:rsidRPr="00F335D0" w:rsidRDefault="00FB629E" w:rsidP="00FB6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Oftalmologinis adatkotis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29E" w:rsidRPr="00F335D0" w:rsidRDefault="00FB629E" w:rsidP="00FB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9E" w:rsidRPr="00F335D0" w:rsidRDefault="00FB629E" w:rsidP="00FB629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Oftalmologinis adatkotis Castoviejo tipo arba lygiavertis smulkiais lenktais galiukais 8 mm ± 0,25 mm, plokščiomis rankenomis, gruoblėtais paviršiais, su užraktu ir spyruokliniu mechanizmu, 142± 3 mm ilgio nerūdijančio metalo, daugkartinio naudojimo.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9E" w:rsidRPr="00F335D0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Oftalmologinis adatkotis Castoviejo tipo smulkiais 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enktais galiukais 8 mm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plokščiomis rankenomis, gruoblėtais paviršiais, su užraktu ir spyruokliniu mechanizmu, 142 mm ilgio nerūdijančio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plieno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daugkartinio naudojimo.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9E" w:rsidRDefault="00FB629E" w:rsidP="00FB62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72054</w:t>
            </w:r>
          </w:p>
          <w:p w:rsidR="00FB629E" w:rsidRDefault="00FB629E" w:rsidP="00FB62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Bausch&amp;Lomb Inc.</w:t>
            </w:r>
          </w:p>
          <w:p w:rsidR="00FB629E" w:rsidRPr="005C4B27" w:rsidRDefault="00FB629E" w:rsidP="00FB62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E21F7" w:rsidRPr="00F335D0" w:rsidTr="006B39DC">
        <w:trPr>
          <w:trHeight w:val="1126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Oftalmologinis adatkotis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1F7" w:rsidRPr="00F335D0" w:rsidRDefault="000E21F7" w:rsidP="000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F7" w:rsidRPr="00F335D0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Oftalmologinis adatkotis Castoviejo tipo arba lygiavertis smulkiais lenktais galiukais 8 mm ± 0,25 mm, plokščiomis rankenomis, gruoblėtais paviršiais, be užrakto su ribotuvu ir spyruokliniu mechanizmu, 142 mm ± 3 mm ilgio nerūdijančio metalo, daugkartinio 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naudojimo.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Pr="00F335D0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Oftalmologinis adatkotis Castoviejo tipo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lenktais galiukais 8 mm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plokščiomis rankenomis, gruoblėtais paviršiais, be užrakto su ribotuvu ir spyruokliniu mechanizmu, 142 mm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ilgio nerūdijančio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plieno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daugkartinio naudojimo.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72053</w:t>
            </w:r>
          </w:p>
          <w:p w:rsidR="000E21F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Bausch&amp;Lomb Inc.</w:t>
            </w:r>
          </w:p>
          <w:p w:rsidR="000E21F7" w:rsidRPr="005C4B2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E21F7" w:rsidRPr="00F335D0" w:rsidTr="006B39DC">
        <w:trPr>
          <w:trHeight w:val="31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Pincetas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1F7" w:rsidRPr="00F335D0" w:rsidRDefault="000E21F7" w:rsidP="000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F7" w:rsidRPr="00F335D0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Gradle tipo arba lygiavertis pincetas blakstienų šalinimui, apvaliai išlenktomis žnyplėmis. Bendras ilgis 100 mm ± 3 mm, nerūdijančio metalo, daugkartinio naudojimo.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Pr="00F335D0" w:rsidRDefault="004C37A2" w:rsidP="004C37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Gradle tipo pincetas blakstienų šalinimui, apvaliai išlenktomis žnyplėmis. Bendras ilgis 100 mm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mm, nerūdijančio plieno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daugkartinio naudojimo.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61050</w:t>
            </w:r>
          </w:p>
          <w:p w:rsidR="000E21F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Bausch&amp;Lomb Inc.</w:t>
            </w:r>
          </w:p>
          <w:p w:rsidR="000E21F7" w:rsidRPr="005C4B2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E21F7" w:rsidRPr="00F335D0" w:rsidTr="006B39DC">
        <w:trPr>
          <w:trHeight w:val="31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Pincetas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1F7" w:rsidRPr="00F335D0" w:rsidRDefault="000E21F7" w:rsidP="000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F7" w:rsidRPr="00F335D0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Rageninis Colibri tipo arba lygiavertis pincetas, labai smulkus, kampu užlenktais galiukais su 0,12 mm ilgio 1x2 dantukais, plokščiomis gruoblėtomis rankenomis, 73 mm ± 3 mm ilgio, titaninis, daugkartinio naudojimo.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Pr="00F335D0" w:rsidRDefault="004C37A2" w:rsidP="004C37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Rageninis Colibri tipo, labai smulkus, kampu užlenktais galiukais su 0,12 mm ilgio 1x2 dantukais, plokščiomis gruoblėtomis rankenomis, 73 mm  ilgio, titaninis, daugkartinio naudojimo.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Pr="005C4B2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t xml:space="preserve">ET3199 </w:t>
            </w:r>
          </w:p>
          <w:p w:rsidR="000E21F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Bausch&amp;Lomb Inc.</w:t>
            </w:r>
          </w:p>
          <w:p w:rsidR="000E21F7" w:rsidRPr="005C4B2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E21F7" w:rsidRPr="00F335D0" w:rsidTr="006B39DC">
        <w:trPr>
          <w:trHeight w:val="31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Oftalmologinis blefarostatas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1F7" w:rsidRPr="00F335D0" w:rsidRDefault="000E21F7" w:rsidP="000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F7" w:rsidRPr="00F335D0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Oftalmologinis blefarostatas Murdoch tipo arba lygiavertis, su vielinėmis 12-14 mm ilgio mentelėmis, atviro tipo, varžtu reguliuojamu arba savaime užsifiksuojančiu fiksacijos mechanizmu. Daugkartinio naudojimo, nerūdijančio metalo.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Pr="00F335D0" w:rsidRDefault="004C37A2" w:rsidP="004C37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Oftalmologinis blefarostatas Murdoch tipo, su vielinėmis 12 mm ilgio mentelėmis, atviro tipo, varžtu reguliuojamu fiksacijos mechanizmu. Daugkartinio naudojimo, nerūdijančio metalo.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Default="000E21F7" w:rsidP="000E21F7">
            <w:pPr>
              <w:jc w:val="both"/>
              <w:rPr>
                <w:rFonts w:ascii="Arial" w:hAnsi="Arial" w:cs="Arial"/>
                <w:color w:val="282828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hd w:val="clear" w:color="auto" w:fill="FFFFFF"/>
              </w:rPr>
              <w:t>K1-5406</w:t>
            </w:r>
          </w:p>
          <w:p w:rsidR="000E21F7" w:rsidRPr="001B278A" w:rsidRDefault="000E21F7" w:rsidP="000E21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Katena</w:t>
            </w:r>
          </w:p>
        </w:tc>
      </w:tr>
      <w:tr w:rsidR="000E21F7" w:rsidRPr="00F335D0" w:rsidTr="006B39DC">
        <w:trPr>
          <w:trHeight w:val="3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Oftalmologinis blefarostatas, kūdikiams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1F7" w:rsidRPr="00F335D0" w:rsidRDefault="000E21F7" w:rsidP="000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F7" w:rsidRPr="00F335D0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Oftalmologinis Barraquer tipo arba lygiavertis blefarostatas su vielinėmis 5 mm ilgio mentelėmis. Bendras ilgis 30-31 mm. Daugkartinio naudojimo, nerūdijančio metalo.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Pr="00F335D0" w:rsidRDefault="004C37A2" w:rsidP="006E12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Oftalmologinis Barraquer su vielinėmis 5 mm ilgio mentelėmis. Bendras ilgis 30 mm. Daugkartinio naudojimo, nerūdijančio </w:t>
            </w:r>
            <w:r w:rsidR="006E12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plieno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E4107P</w:t>
            </w:r>
          </w:p>
          <w:p w:rsidR="000E21F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Bausch&amp;Lomb Inc.</w:t>
            </w:r>
          </w:p>
          <w:p w:rsidR="000E21F7" w:rsidRPr="00F335D0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E21F7" w:rsidRPr="00F335D0" w:rsidTr="006B39DC">
        <w:trPr>
          <w:trHeight w:val="4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Oftalmologinis blefarostatas, </w:t>
            </w: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vaikams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1F7" w:rsidRPr="00F335D0" w:rsidRDefault="000E21F7" w:rsidP="000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F7" w:rsidRPr="00F335D0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Oftalmologinis Barraquer tipo arba lygiavertis blefarostatas su 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vielinėmis 11 mm ilgio mentelėmis. Maksimalus vokų praskėtimas 19 mm. Bendras ilgis 34-35 mm. Daugkartinio naudojimo, nerūdijančio metalo.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1F7" w:rsidRPr="00F335D0" w:rsidRDefault="006E128D" w:rsidP="006E12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Oftalmologinis Barraquer tipo blefarostatas su vielinėmis 11 mm 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ilgio mentelėmis. Maksimalus vokų praskėtimas 19 mm. Bendras ilgis 34 mm. Daugkartinio naudojimo, nerūdijančio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plieno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1F7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E4107</w:t>
            </w:r>
          </w:p>
          <w:p w:rsidR="000E21F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Bausch&amp;Lomb Inc.</w:t>
            </w:r>
          </w:p>
          <w:p w:rsidR="000E21F7" w:rsidRPr="00F335D0" w:rsidRDefault="000E21F7" w:rsidP="000E21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E21F7" w:rsidRPr="00F335D0" w:rsidTr="006B39DC">
        <w:trPr>
          <w:trHeight w:val="566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1.9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Lęšiuko branduolio manipuliatorius ir mentelė (angl. chopper ir spatula)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1F7" w:rsidRPr="00F335D0" w:rsidRDefault="000E21F7" w:rsidP="000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F7" w:rsidRPr="00F335D0" w:rsidRDefault="000E21F7" w:rsidP="000E2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Dviejų galų oftalmologinis instrumentas, Nichamin tipo arba lygiavertis. Viename instrumento gale „chopper“ (angl.) su 1,25 mm pleišto formos suapvalintu galiuku , saugančiu užpakalinę kapsulę. Kitas galas – mentelė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„spatula“ (angl.) 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0,5 mm dydžio galu, skirtu minkštesnio branduolio manipuliacijoms. Instrumento rankena apvali, gruoblėta. Bendras ilgis 140 mm. Daugkartinio naudojimo, nerūdijančio metalo.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Pr="00F335D0" w:rsidRDefault="00D06D31" w:rsidP="00D06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Dviejų galų oftalmologinis instrumentas, Nichamin. Viename instrumento gale „chopper“ su 1,25 mm pleišto formos suapvalintu galiuku , saugančiu užpakalinę kapsulę. Kitas galas – mentelė su 0,5 mm dydžio galu, skirtu minkštesnio branduolio manipuliacijoms. Instrumento rankena apvali, gruoblėta. Bendras ilgis 140 mm. Daugkartinio naudojimo, nerūdijančio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plieno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Default="000E21F7" w:rsidP="000E2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E0570 N</w:t>
            </w:r>
          </w:p>
          <w:p w:rsidR="000E21F7" w:rsidRDefault="000E21F7" w:rsidP="000E2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0E21F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Bausch&amp;Lomb Inc.</w:t>
            </w:r>
          </w:p>
          <w:p w:rsidR="000E21F7" w:rsidRPr="00F335D0" w:rsidRDefault="000E21F7" w:rsidP="000E2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E21F7" w:rsidRPr="00F335D0" w:rsidTr="006B39DC">
        <w:trPr>
          <w:trHeight w:val="54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21F7" w:rsidRPr="00F335D0" w:rsidRDefault="000E21F7" w:rsidP="000E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Lęšiuko branduolio manipuliatorius ir mentelė (angl. chopper)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1F7" w:rsidRPr="00F335D0" w:rsidRDefault="000E21F7" w:rsidP="000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1F7" w:rsidRPr="00F335D0" w:rsidRDefault="000E21F7" w:rsidP="000E2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Oftalmologinis Seibel tipo arba lygiavertis „chopper“ (angl.), alyvuogės formos galiukas, saugantis užpakalinę kapsulę. Instrumento rankena apvali, gruoblėta. Bendras ilgis 117 mm. Daugkartinio naudojimo, nerūdijančio metalo.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Pr="00F335D0" w:rsidRDefault="00D06D31" w:rsidP="00D06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Oftalmologinis Seibel tipo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„chopper“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alyvuogės formos galiukas, saugantis užpakalinę kapsulę. Instrumento rankena apvali, gruoblėta. Bendras ilgis 117 mm. Daugkartinio naudojimo, nerūdijančio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plieno</w:t>
            </w:r>
            <w:r w:rsidRPr="00F335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Default="000E21F7" w:rsidP="000E2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E0590</w:t>
            </w:r>
          </w:p>
          <w:p w:rsidR="000E21F7" w:rsidRDefault="000E21F7" w:rsidP="000E2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Bausch&amp;Lomb Inc.</w:t>
            </w:r>
          </w:p>
          <w:p w:rsidR="000E21F7" w:rsidRPr="00F335D0" w:rsidRDefault="000E21F7" w:rsidP="000E2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F335D0" w:rsidRDefault="00F335D0" w:rsidP="001A24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</w:p>
    <w:p w:rsidR="00F335D0" w:rsidRDefault="00F335D0" w:rsidP="001A24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335D0" w:rsidRPr="001A2498" w:rsidRDefault="00F335D0" w:rsidP="001A24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C12AC" w:rsidRPr="00EA738F" w:rsidRDefault="00BC12AC" w:rsidP="00BC12AC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BC12AC" w:rsidRPr="00EA738F" w:rsidSect="008A376B">
      <w:pgSz w:w="15840" w:h="12240" w:orient="landscape"/>
      <w:pgMar w:top="1701" w:right="67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E3" w:rsidRDefault="00E258E3" w:rsidP="009128C0">
      <w:pPr>
        <w:spacing w:after="0" w:line="240" w:lineRule="auto"/>
      </w:pPr>
      <w:r>
        <w:separator/>
      </w:r>
    </w:p>
  </w:endnote>
  <w:endnote w:type="continuationSeparator" w:id="0">
    <w:p w:rsidR="00E258E3" w:rsidRDefault="00E258E3" w:rsidP="0091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E3" w:rsidRDefault="00E258E3" w:rsidP="009128C0">
      <w:pPr>
        <w:spacing w:after="0" w:line="240" w:lineRule="auto"/>
      </w:pPr>
      <w:r>
        <w:separator/>
      </w:r>
    </w:p>
  </w:footnote>
  <w:footnote w:type="continuationSeparator" w:id="0">
    <w:p w:rsidR="00E258E3" w:rsidRDefault="00E258E3" w:rsidP="0091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6AE6"/>
    <w:multiLevelType w:val="hybridMultilevel"/>
    <w:tmpl w:val="83D877D2"/>
    <w:lvl w:ilvl="0" w:tplc="20F6EB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AC"/>
    <w:rsid w:val="000112CB"/>
    <w:rsid w:val="000179D5"/>
    <w:rsid w:val="000343D6"/>
    <w:rsid w:val="00063B63"/>
    <w:rsid w:val="00090CD3"/>
    <w:rsid w:val="000B00FF"/>
    <w:rsid w:val="000B3FC1"/>
    <w:rsid w:val="000C0F11"/>
    <w:rsid w:val="000D29DA"/>
    <w:rsid w:val="000E21F7"/>
    <w:rsid w:val="001262B4"/>
    <w:rsid w:val="00161F83"/>
    <w:rsid w:val="001A09EC"/>
    <w:rsid w:val="001A2498"/>
    <w:rsid w:val="001A3890"/>
    <w:rsid w:val="001D2F09"/>
    <w:rsid w:val="001F257A"/>
    <w:rsid w:val="00213BE2"/>
    <w:rsid w:val="00214FBB"/>
    <w:rsid w:val="002269E6"/>
    <w:rsid w:val="00235414"/>
    <w:rsid w:val="002544C7"/>
    <w:rsid w:val="00287F77"/>
    <w:rsid w:val="002C237E"/>
    <w:rsid w:val="002F345E"/>
    <w:rsid w:val="00301183"/>
    <w:rsid w:val="0031553F"/>
    <w:rsid w:val="00355037"/>
    <w:rsid w:val="00366564"/>
    <w:rsid w:val="00377B8A"/>
    <w:rsid w:val="003A11F5"/>
    <w:rsid w:val="003A791A"/>
    <w:rsid w:val="003E5AEB"/>
    <w:rsid w:val="00402037"/>
    <w:rsid w:val="00412494"/>
    <w:rsid w:val="0043561F"/>
    <w:rsid w:val="0044163C"/>
    <w:rsid w:val="00445F64"/>
    <w:rsid w:val="0044632D"/>
    <w:rsid w:val="00464976"/>
    <w:rsid w:val="00486648"/>
    <w:rsid w:val="004A1629"/>
    <w:rsid w:val="004B5163"/>
    <w:rsid w:val="004C37A2"/>
    <w:rsid w:val="004E735B"/>
    <w:rsid w:val="004F0D78"/>
    <w:rsid w:val="00512BF4"/>
    <w:rsid w:val="00535DF8"/>
    <w:rsid w:val="005367BF"/>
    <w:rsid w:val="005C7058"/>
    <w:rsid w:val="00607012"/>
    <w:rsid w:val="006378F2"/>
    <w:rsid w:val="00643FAA"/>
    <w:rsid w:val="00665A10"/>
    <w:rsid w:val="0066790A"/>
    <w:rsid w:val="00671C5B"/>
    <w:rsid w:val="00696BB5"/>
    <w:rsid w:val="006B39DC"/>
    <w:rsid w:val="006B4BE2"/>
    <w:rsid w:val="006E128D"/>
    <w:rsid w:val="0074727A"/>
    <w:rsid w:val="007701C0"/>
    <w:rsid w:val="00770DFD"/>
    <w:rsid w:val="007731EE"/>
    <w:rsid w:val="00773C0B"/>
    <w:rsid w:val="00781357"/>
    <w:rsid w:val="007F2AB3"/>
    <w:rsid w:val="007F3EC6"/>
    <w:rsid w:val="0080604D"/>
    <w:rsid w:val="00812270"/>
    <w:rsid w:val="00815D35"/>
    <w:rsid w:val="00820D55"/>
    <w:rsid w:val="00831F45"/>
    <w:rsid w:val="00872F73"/>
    <w:rsid w:val="008A376B"/>
    <w:rsid w:val="009128C0"/>
    <w:rsid w:val="00920C81"/>
    <w:rsid w:val="00937C1A"/>
    <w:rsid w:val="00967982"/>
    <w:rsid w:val="009B071F"/>
    <w:rsid w:val="009B2F80"/>
    <w:rsid w:val="009B32EF"/>
    <w:rsid w:val="009C7826"/>
    <w:rsid w:val="00A048A6"/>
    <w:rsid w:val="00A300E1"/>
    <w:rsid w:val="00A311A3"/>
    <w:rsid w:val="00A45B56"/>
    <w:rsid w:val="00A968AA"/>
    <w:rsid w:val="00AD5B1B"/>
    <w:rsid w:val="00AE5767"/>
    <w:rsid w:val="00B11F7F"/>
    <w:rsid w:val="00B21A35"/>
    <w:rsid w:val="00B27EA6"/>
    <w:rsid w:val="00B46736"/>
    <w:rsid w:val="00B73F61"/>
    <w:rsid w:val="00B803CD"/>
    <w:rsid w:val="00B84F45"/>
    <w:rsid w:val="00BC12AC"/>
    <w:rsid w:val="00C00E25"/>
    <w:rsid w:val="00C01D61"/>
    <w:rsid w:val="00C117A1"/>
    <w:rsid w:val="00C11881"/>
    <w:rsid w:val="00C31B12"/>
    <w:rsid w:val="00C727FB"/>
    <w:rsid w:val="00C76078"/>
    <w:rsid w:val="00C858EB"/>
    <w:rsid w:val="00D06D31"/>
    <w:rsid w:val="00D44657"/>
    <w:rsid w:val="00D65920"/>
    <w:rsid w:val="00D66606"/>
    <w:rsid w:val="00D775C6"/>
    <w:rsid w:val="00DA1E5F"/>
    <w:rsid w:val="00DA39C5"/>
    <w:rsid w:val="00DA50D8"/>
    <w:rsid w:val="00DC613F"/>
    <w:rsid w:val="00DE7D3A"/>
    <w:rsid w:val="00DF51F7"/>
    <w:rsid w:val="00E11C63"/>
    <w:rsid w:val="00E17779"/>
    <w:rsid w:val="00E258E3"/>
    <w:rsid w:val="00E32E41"/>
    <w:rsid w:val="00E93282"/>
    <w:rsid w:val="00EA6380"/>
    <w:rsid w:val="00EA738F"/>
    <w:rsid w:val="00EE7125"/>
    <w:rsid w:val="00EF2A0A"/>
    <w:rsid w:val="00EF3051"/>
    <w:rsid w:val="00F23C7D"/>
    <w:rsid w:val="00F265F8"/>
    <w:rsid w:val="00F335D0"/>
    <w:rsid w:val="00F45903"/>
    <w:rsid w:val="00F71072"/>
    <w:rsid w:val="00F86609"/>
    <w:rsid w:val="00FB629E"/>
    <w:rsid w:val="00FC412C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8C0"/>
  </w:style>
  <w:style w:type="paragraph" w:styleId="Footer">
    <w:name w:val="footer"/>
    <w:basedOn w:val="Normal"/>
    <w:link w:val="FooterChar"/>
    <w:uiPriority w:val="99"/>
    <w:unhideWhenUsed/>
    <w:rsid w:val="0091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8C0"/>
  </w:style>
  <w:style w:type="paragraph" w:styleId="ListParagraph">
    <w:name w:val="List Paragraph"/>
    <w:basedOn w:val="Normal"/>
    <w:uiPriority w:val="34"/>
    <w:qFormat/>
    <w:rsid w:val="004866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35D0"/>
    <w:pPr>
      <w:spacing w:after="0" w:line="240" w:lineRule="auto"/>
    </w:pPr>
    <w:rPr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2017-10-03T07:48:00Z</dcterms:created>
  <dcterms:modified xsi:type="dcterms:W3CDTF">2019-04-22T09:43:00Z</dcterms:modified>
</cp:coreProperties>
</file>