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BFC92F8" w:rsidR="00CC7DEB" w:rsidRPr="00502EA8" w:rsidRDefault="000D4D2B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 xml:space="preserve">Rangos sutarties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4734F8BF" w14:textId="77777777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>atlikti šiuos</w:t>
      </w:r>
      <w:r>
        <w:rPr>
          <w:rFonts w:ascii="Arial" w:hAnsi="Arial" w:cs="Arial"/>
        </w:rPr>
        <w:t>darbus:________________________________________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3D9C9E09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1348E5D4" w14:textId="77777777" w:rsidR="00701AB4" w:rsidRPr="00701AB4" w:rsidRDefault="00FA734F" w:rsidP="005914BB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EA5A5AB" w14:textId="77777777" w:rsidR="00B641ED" w:rsidRPr="00B1057C" w:rsidRDefault="00B641ED" w:rsidP="00B641ED">
      <w:pPr>
        <w:spacing w:after="60"/>
        <w:ind w:left="720"/>
        <w:jc w:val="both"/>
        <w:rPr>
          <w:rFonts w:ascii="Arial" w:hAnsi="Arial" w:cs="Arial"/>
        </w:rPr>
      </w:pP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11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mokėjimams pagal šią Sutartį. </w:t>
      </w:r>
    </w:p>
    <w:p w14:paraId="5E7CE097" w14:textId="77777777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lastRenderedPageBreak/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0" w:name="_Ref322960634"/>
      <w:r w:rsidRPr="008E6530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2E03FB0A" w14:textId="45DCACBC" w:rsidR="007545CB" w:rsidRPr="006F444C" w:rsidRDefault="008E6530" w:rsidP="006F444C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  <w:bookmarkStart w:id="1" w:name="_GoBack"/>
      <w:bookmarkEnd w:id="1"/>
    </w:p>
    <w:sectPr w:rsidR="007545CB" w:rsidRPr="006F444C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C6DB9" w14:textId="77777777" w:rsidR="009F3DA3" w:rsidRDefault="009F3DA3" w:rsidP="00BE0841">
      <w:r>
        <w:separator/>
      </w:r>
    </w:p>
  </w:endnote>
  <w:endnote w:type="continuationSeparator" w:id="0">
    <w:p w14:paraId="1FF6FDCA" w14:textId="77777777" w:rsidR="009F3DA3" w:rsidRDefault="009F3DA3" w:rsidP="00BE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B0F8A" w14:textId="77777777" w:rsidR="009F3DA3" w:rsidRDefault="009F3DA3" w:rsidP="00BE0841">
      <w:r>
        <w:separator/>
      </w:r>
    </w:p>
  </w:footnote>
  <w:footnote w:type="continuationSeparator" w:id="0">
    <w:p w14:paraId="3B7D07D8" w14:textId="77777777" w:rsidR="009F3DA3" w:rsidRDefault="009F3DA3" w:rsidP="00BE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E40AD"/>
    <w:rsid w:val="001E5526"/>
    <w:rsid w:val="00214B8F"/>
    <w:rsid w:val="00247577"/>
    <w:rsid w:val="00270CC6"/>
    <w:rsid w:val="002E4BAA"/>
    <w:rsid w:val="003279CF"/>
    <w:rsid w:val="00345A28"/>
    <w:rsid w:val="0041658B"/>
    <w:rsid w:val="004530DC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6F444C"/>
    <w:rsid w:val="00701AB4"/>
    <w:rsid w:val="007545CB"/>
    <w:rsid w:val="00762A6D"/>
    <w:rsid w:val="007910E0"/>
    <w:rsid w:val="00825428"/>
    <w:rsid w:val="008A28B4"/>
    <w:rsid w:val="008D1F6D"/>
    <w:rsid w:val="008E6530"/>
    <w:rsid w:val="00987A91"/>
    <w:rsid w:val="009C1232"/>
    <w:rsid w:val="009F3DA3"/>
    <w:rsid w:val="00A24A57"/>
    <w:rsid w:val="00A342FE"/>
    <w:rsid w:val="00A721F5"/>
    <w:rsid w:val="00B641ED"/>
    <w:rsid w:val="00B81FC9"/>
    <w:rsid w:val="00BE0841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540BD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5727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Sigita Danienė</cp:lastModifiedBy>
  <cp:revision>5</cp:revision>
  <dcterms:created xsi:type="dcterms:W3CDTF">2018-10-15T12:59:00Z</dcterms:created>
  <dcterms:modified xsi:type="dcterms:W3CDTF">2019-08-21T09:32:00Z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sigita.daniene@le.lt</vt:lpwstr>
  </property>
  <property fmtid="{D5CDD505-2E9C-101B-9397-08002B2CF9AE}" pid="7" name="MSIP_Label_320c693d-44b7-4e16-b3dd-4fcd87401cf5_SetDate">
    <vt:lpwstr>2019-08-21T09:30:11.5034139Z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1ae705cd-52ca-46f5-b5d9-f7b5bd560988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sigita.daniene@le.lt</vt:lpwstr>
  </property>
  <property fmtid="{D5CDD505-2E9C-101B-9397-08002B2CF9AE}" pid="15" name="MSIP_Label_190751af-2442-49a7-b7b9-9f0bcce858c9_SetDate">
    <vt:lpwstr>2019-08-21T09:30:11.5034139Z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1ae705cd-52ca-46f5-b5d9-f7b5bd560988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