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4C20A" w14:textId="77777777" w:rsidR="008C6843" w:rsidRPr="008C6843" w:rsidRDefault="008C6843" w:rsidP="008C6843">
      <w:pPr>
        <w:keepNext/>
        <w:keepLines/>
        <w:spacing w:before="40" w:after="0" w:line="240" w:lineRule="auto"/>
        <w:ind w:firstLine="567"/>
        <w:jc w:val="center"/>
        <w:outlineLvl w:val="1"/>
        <w:rPr>
          <w:rFonts w:cs="Calibri"/>
          <w:b/>
          <w:lang w:eastAsia="en-US"/>
        </w:rPr>
      </w:pPr>
      <w:r w:rsidRPr="008C6843">
        <w:rPr>
          <w:rFonts w:cs="Calibri"/>
          <w:b/>
          <w:bCs/>
          <w:lang w:eastAsia="en-US"/>
        </w:rPr>
        <w:t xml:space="preserve">PREKIŲ PIRKIMO PARDAVIMO </w:t>
      </w:r>
      <w:r w:rsidRPr="008C6843">
        <w:rPr>
          <w:rFonts w:cs="Calibri"/>
          <w:b/>
          <w:lang w:eastAsia="en-US"/>
        </w:rPr>
        <w:t>SUTARTIS</w:t>
      </w:r>
    </w:p>
    <w:p w14:paraId="5344AD42" w14:textId="77777777" w:rsidR="008C6843" w:rsidRPr="008C6843" w:rsidRDefault="008C6843" w:rsidP="008C6843">
      <w:pPr>
        <w:tabs>
          <w:tab w:val="center" w:pos="4819"/>
          <w:tab w:val="right" w:pos="9638"/>
        </w:tabs>
        <w:spacing w:after="0" w:line="240" w:lineRule="auto"/>
        <w:ind w:firstLine="567"/>
        <w:jc w:val="both"/>
        <w:rPr>
          <w:rFonts w:cs="Calibri"/>
          <w:bCs/>
          <w:lang w:eastAsia="en-US"/>
        </w:rPr>
      </w:pPr>
    </w:p>
    <w:p w14:paraId="0CB79C97" w14:textId="77777777" w:rsidR="008C6843" w:rsidRPr="008C6843" w:rsidRDefault="008C6843" w:rsidP="008C6843">
      <w:pPr>
        <w:spacing w:after="0" w:line="240" w:lineRule="auto"/>
        <w:ind w:firstLine="567"/>
        <w:jc w:val="center"/>
        <w:rPr>
          <w:rFonts w:cs="Calibri"/>
          <w:b/>
          <w:lang w:eastAsia="en-US"/>
        </w:rPr>
      </w:pPr>
      <w:r w:rsidRPr="008C6843">
        <w:rPr>
          <w:rFonts w:cs="Calibri"/>
          <w:lang w:eastAsia="en-US"/>
        </w:rPr>
        <w:t>2019 m. gruodžio                d. Nr.</w:t>
      </w:r>
    </w:p>
    <w:p w14:paraId="7AFEF7A3" w14:textId="2BC1A8F4" w:rsidR="008C6843" w:rsidRDefault="008C6843" w:rsidP="008C6843">
      <w:pPr>
        <w:spacing w:after="0" w:line="240" w:lineRule="auto"/>
        <w:ind w:firstLine="567"/>
        <w:jc w:val="center"/>
        <w:rPr>
          <w:rFonts w:cs="Calibri"/>
          <w:lang w:eastAsia="en-US"/>
        </w:rPr>
      </w:pPr>
      <w:r w:rsidRPr="008C6843">
        <w:rPr>
          <w:rFonts w:cs="Calibri"/>
          <w:lang w:eastAsia="en-US"/>
        </w:rPr>
        <w:t>Vilnius</w:t>
      </w:r>
    </w:p>
    <w:p w14:paraId="3F7B7374" w14:textId="77777777" w:rsidR="008C6843" w:rsidRPr="008C6843" w:rsidRDefault="008C6843" w:rsidP="008C6843">
      <w:pPr>
        <w:spacing w:after="0" w:line="240" w:lineRule="auto"/>
        <w:ind w:firstLine="567"/>
        <w:jc w:val="center"/>
        <w:rPr>
          <w:rFonts w:cs="Calibri"/>
          <w:lang w:eastAsia="en-US"/>
        </w:rPr>
      </w:pPr>
    </w:p>
    <w:p w14:paraId="7AB9FDEA" w14:textId="44CEF6E0" w:rsidR="00101EA0" w:rsidRPr="00CD5B51" w:rsidRDefault="00101EA0" w:rsidP="00CD5B51">
      <w:pPr>
        <w:pStyle w:val="ListParagraph"/>
        <w:spacing w:after="0" w:line="240" w:lineRule="auto"/>
        <w:ind w:left="0" w:firstLine="720"/>
        <w:jc w:val="both"/>
        <w:rPr>
          <w:rFonts w:cs="Calibri"/>
        </w:rPr>
      </w:pPr>
      <w:r w:rsidRPr="00920A5E">
        <w:rPr>
          <w:rFonts w:cs="Calibri"/>
          <w:b/>
        </w:rPr>
        <w:t>Valstybės įmonė „Oro navigacija“</w:t>
      </w:r>
      <w:r w:rsidRPr="00920A5E">
        <w:rPr>
          <w:rFonts w:cs="Calibri"/>
        </w:rPr>
        <w:t xml:space="preserve">, atstovaujama generalinio </w:t>
      </w:r>
      <w:r w:rsidRPr="00EE654A">
        <w:rPr>
          <w:rFonts w:cs="Calibri"/>
        </w:rPr>
        <w:t xml:space="preserve">direktoriaus Mindaugo Gusčio, </w:t>
      </w:r>
      <w:r w:rsidRPr="00920A5E">
        <w:rPr>
          <w:rFonts w:cs="Calibri"/>
        </w:rPr>
        <w:t xml:space="preserve">veikiančio pagal įmonės įstatus (toliau – Pirkėjas), ir </w:t>
      </w:r>
      <w:r w:rsidRPr="00920A5E">
        <w:rPr>
          <w:rFonts w:cs="Calibri"/>
          <w:b/>
        </w:rPr>
        <w:t>UAB „</w:t>
      </w:r>
      <w:r w:rsidR="008C6843">
        <w:rPr>
          <w:rFonts w:cs="Calibri"/>
          <w:b/>
        </w:rPr>
        <w:t>Eden Springs Lietuva</w:t>
      </w:r>
      <w:r w:rsidRPr="00920A5E">
        <w:rPr>
          <w:rFonts w:cs="Calibri"/>
          <w:b/>
        </w:rPr>
        <w:t>“</w:t>
      </w:r>
      <w:r w:rsidRPr="00920A5E">
        <w:rPr>
          <w:rFonts w:cs="Calibri"/>
        </w:rPr>
        <w:t xml:space="preserve">, atstovaujama </w:t>
      </w:r>
      <w:r w:rsidR="00074C39">
        <w:rPr>
          <w:rFonts w:cs="Calibri"/>
        </w:rPr>
        <w:t xml:space="preserve">vykdomojo </w:t>
      </w:r>
      <w:r w:rsidR="008C6843" w:rsidRPr="00074C39">
        <w:rPr>
          <w:rFonts w:cs="Calibri"/>
        </w:rPr>
        <w:t>direktoriaus</w:t>
      </w:r>
      <w:r w:rsidR="00074C39" w:rsidRPr="00074C39">
        <w:rPr>
          <w:rFonts w:cs="Calibri"/>
        </w:rPr>
        <w:t xml:space="preserve"> Ž</w:t>
      </w:r>
      <w:r w:rsidR="00074C39">
        <w:rPr>
          <w:rFonts w:cs="Calibri"/>
        </w:rPr>
        <w:t xml:space="preserve">ilvino Biekšos </w:t>
      </w:r>
      <w:r w:rsidRPr="00920A5E">
        <w:rPr>
          <w:rFonts w:cs="Calibri"/>
        </w:rPr>
        <w:t xml:space="preserve">(toliau – Tiekėjas), toliau visos kartu vadinamos Šalimis, o kiekviena atskirai – Šalimi, atsižvelgdamos į </w:t>
      </w:r>
      <w:r w:rsidR="00CD5B51" w:rsidRPr="00CD5B51">
        <w:rPr>
          <w:rFonts w:cs="Calibri"/>
          <w:b/>
        </w:rPr>
        <w:t>Geriamojo vandens, vienkartinių stiklinių pirkimo ir geriamojo vandens</w:t>
      </w:r>
      <w:r w:rsidR="00333B64">
        <w:rPr>
          <w:rFonts w:cs="Calibri"/>
          <w:b/>
        </w:rPr>
        <w:t xml:space="preserve"> šaltam ir karštam vandeniui</w:t>
      </w:r>
      <w:r w:rsidR="00CD5B51" w:rsidRPr="00CD5B51">
        <w:rPr>
          <w:rFonts w:cs="Calibri"/>
          <w:b/>
        </w:rPr>
        <w:t xml:space="preserve"> išpilstymo aparatų nuomos</w:t>
      </w:r>
      <w:r w:rsidR="00CD5B51">
        <w:rPr>
          <w:rFonts w:cs="Calibri"/>
          <w:b/>
        </w:rPr>
        <w:t xml:space="preserve"> pirkimo skelbiamos apklausos </w:t>
      </w:r>
      <w:r w:rsidRPr="00920A5E">
        <w:rPr>
          <w:rFonts w:cs="Calibri"/>
          <w:b/>
        </w:rPr>
        <w:t xml:space="preserve">būdu </w:t>
      </w:r>
      <w:r w:rsidRPr="00920A5E">
        <w:rPr>
          <w:rFonts w:cs="Calibri"/>
        </w:rPr>
        <w:t xml:space="preserve">(toliau – Pirkimas) rezultatus, sudarė </w:t>
      </w:r>
      <w:r w:rsidR="00CD5B51" w:rsidRPr="00CD5B51">
        <w:rPr>
          <w:rFonts w:cs="Calibri"/>
        </w:rPr>
        <w:t>Geriamojo vandens, vienkartinių stiklinių pirkimo ir geriamojo vandens</w:t>
      </w:r>
      <w:r w:rsidR="00333B64">
        <w:rPr>
          <w:rFonts w:cs="Calibri"/>
        </w:rPr>
        <w:t xml:space="preserve"> šaltam ir karštam vandeniui</w:t>
      </w:r>
      <w:r w:rsidR="00CD5B51" w:rsidRPr="00CD5B51">
        <w:rPr>
          <w:rFonts w:cs="Calibri"/>
        </w:rPr>
        <w:t xml:space="preserve"> išpilstymo aparatų nuomos</w:t>
      </w:r>
      <w:r w:rsidR="00CD5B51">
        <w:rPr>
          <w:rFonts w:cs="Calibri"/>
        </w:rPr>
        <w:t xml:space="preserve"> </w:t>
      </w:r>
      <w:r w:rsidRPr="00CD5B51">
        <w:rPr>
          <w:rFonts w:cs="Calibri"/>
        </w:rPr>
        <w:t>sutartį (toliau – Sutartis) ir susitarė dėl toliau išvardytų sąlygų:</w:t>
      </w:r>
    </w:p>
    <w:p w14:paraId="4C4EFDF5" w14:textId="77777777" w:rsidR="00101EA0" w:rsidRPr="00920A5E" w:rsidRDefault="00101EA0" w:rsidP="00101EA0">
      <w:pPr>
        <w:pStyle w:val="ListParagraph"/>
        <w:spacing w:after="0" w:line="240" w:lineRule="auto"/>
        <w:ind w:left="0" w:firstLine="720"/>
        <w:jc w:val="both"/>
        <w:rPr>
          <w:rFonts w:cs="Calibri"/>
        </w:rPr>
      </w:pPr>
    </w:p>
    <w:p w14:paraId="0D7174E7" w14:textId="77777777" w:rsidR="00101EA0" w:rsidRDefault="00101EA0" w:rsidP="00101EA0">
      <w:pPr>
        <w:pStyle w:val="ListParagraph"/>
        <w:widowControl w:val="0"/>
        <w:numPr>
          <w:ilvl w:val="0"/>
          <w:numId w:val="1"/>
        </w:numPr>
        <w:overflowPunct w:val="0"/>
        <w:autoSpaceDE w:val="0"/>
        <w:autoSpaceDN w:val="0"/>
        <w:adjustRightInd w:val="0"/>
        <w:spacing w:after="0" w:line="240" w:lineRule="auto"/>
        <w:jc w:val="center"/>
        <w:rPr>
          <w:rFonts w:asciiTheme="minorHAnsi" w:hAnsiTheme="minorHAnsi"/>
        </w:rPr>
      </w:pPr>
      <w:r w:rsidRPr="002E73BB">
        <w:rPr>
          <w:rFonts w:asciiTheme="minorHAnsi" w:hAnsiTheme="minorHAnsi"/>
          <w:b/>
          <w:bCs/>
        </w:rPr>
        <w:t>SUTARTIES OBJEKTAS</w:t>
      </w:r>
    </w:p>
    <w:p w14:paraId="549E6DAD" w14:textId="77777777" w:rsidR="00101EA0" w:rsidRPr="00502DB5" w:rsidRDefault="00101EA0" w:rsidP="00101EA0">
      <w:pPr>
        <w:pStyle w:val="ListParagraph"/>
        <w:widowControl w:val="0"/>
        <w:overflowPunct w:val="0"/>
        <w:autoSpaceDE w:val="0"/>
        <w:autoSpaceDN w:val="0"/>
        <w:adjustRightInd w:val="0"/>
        <w:spacing w:after="0" w:line="240" w:lineRule="auto"/>
        <w:ind w:left="0"/>
        <w:rPr>
          <w:rFonts w:asciiTheme="minorHAnsi" w:hAnsiTheme="minorHAnsi"/>
        </w:rPr>
      </w:pPr>
    </w:p>
    <w:p w14:paraId="5CE262AF" w14:textId="6C344FB8" w:rsidR="00101EA0" w:rsidRPr="00502DB5" w:rsidRDefault="00101EA0" w:rsidP="00101EA0">
      <w:pPr>
        <w:ind w:firstLine="720"/>
        <w:jc w:val="both"/>
        <w:rPr>
          <w:rFonts w:asciiTheme="minorHAnsi" w:hAnsiTheme="minorHAnsi"/>
        </w:rPr>
      </w:pPr>
      <w:r w:rsidRPr="00502DB5">
        <w:rPr>
          <w:rFonts w:asciiTheme="minorHAnsi" w:hAnsiTheme="minorHAnsi"/>
        </w:rPr>
        <w:t xml:space="preserve">1. Sutartimi Tiekėjas įsipareigoja </w:t>
      </w:r>
      <w:r w:rsidRPr="007E203C">
        <w:rPr>
          <w:rFonts w:asciiTheme="minorHAnsi" w:hAnsiTheme="minorHAnsi"/>
        </w:rPr>
        <w:t xml:space="preserve">perduoti </w:t>
      </w:r>
      <w:r w:rsidR="00B75438">
        <w:rPr>
          <w:rFonts w:asciiTheme="minorHAnsi" w:hAnsiTheme="minorHAnsi"/>
        </w:rPr>
        <w:t>Sutarties 2 priede „Tiekėjo pasiūlymas</w:t>
      </w:r>
      <w:r w:rsidR="003741FB" w:rsidRPr="007E203C">
        <w:rPr>
          <w:rFonts w:asciiTheme="minorHAnsi" w:hAnsiTheme="minorHAnsi"/>
        </w:rPr>
        <w:t>“ nurodytas prekes</w:t>
      </w:r>
      <w:r w:rsidRPr="007E203C">
        <w:rPr>
          <w:rFonts w:asciiTheme="minorHAnsi" w:hAnsiTheme="minorHAnsi"/>
        </w:rPr>
        <w:t xml:space="preserve"> (toliau</w:t>
      </w:r>
      <w:r w:rsidR="007E203C" w:rsidRPr="007E203C">
        <w:rPr>
          <w:rFonts w:asciiTheme="minorHAnsi" w:hAnsiTheme="minorHAnsi"/>
        </w:rPr>
        <w:t xml:space="preserve"> – Prekės)</w:t>
      </w:r>
      <w:r w:rsidRPr="00502DB5">
        <w:rPr>
          <w:rFonts w:asciiTheme="minorHAnsi" w:hAnsiTheme="minorHAnsi"/>
        </w:rPr>
        <w:t xml:space="preserve">, o Pirkėjas įsipareigoja priimti Prekes ir sumokėti Tiekėjui už Prekes Sutartyje nustatyta tvarka ir terminais. </w:t>
      </w:r>
    </w:p>
    <w:p w14:paraId="73F0AF6F" w14:textId="77777777" w:rsidR="00101EA0" w:rsidRPr="002E73BB" w:rsidRDefault="00101EA0" w:rsidP="00101EA0">
      <w:pPr>
        <w:pBdr>
          <w:top w:val="nil"/>
          <w:left w:val="nil"/>
          <w:bottom w:val="nil"/>
          <w:right w:val="nil"/>
          <w:between w:val="nil"/>
          <w:bar w:val="nil"/>
        </w:pBdr>
        <w:tabs>
          <w:tab w:val="left" w:pos="1134"/>
        </w:tabs>
        <w:suppressAutoHyphens/>
        <w:spacing w:after="0" w:line="240" w:lineRule="auto"/>
        <w:contextualSpacing/>
        <w:jc w:val="both"/>
        <w:rPr>
          <w:rFonts w:asciiTheme="minorHAnsi" w:hAnsiTheme="minorHAnsi"/>
          <w:color w:val="000000" w:themeColor="text1"/>
        </w:rPr>
      </w:pPr>
    </w:p>
    <w:p w14:paraId="738729AF" w14:textId="77777777" w:rsidR="00101EA0" w:rsidRDefault="00101EA0" w:rsidP="00101EA0">
      <w:pPr>
        <w:pStyle w:val="ListParagraph"/>
        <w:widowControl w:val="0"/>
        <w:numPr>
          <w:ilvl w:val="0"/>
          <w:numId w:val="1"/>
        </w:numPr>
        <w:overflowPunct w:val="0"/>
        <w:autoSpaceDE w:val="0"/>
        <w:autoSpaceDN w:val="0"/>
        <w:adjustRightInd w:val="0"/>
        <w:spacing w:after="0" w:line="240" w:lineRule="auto"/>
        <w:jc w:val="center"/>
        <w:rPr>
          <w:rFonts w:asciiTheme="minorHAnsi" w:hAnsiTheme="minorHAnsi"/>
          <w:b/>
          <w:bCs/>
        </w:rPr>
      </w:pPr>
      <w:r w:rsidRPr="002E73BB">
        <w:rPr>
          <w:rFonts w:asciiTheme="minorHAnsi" w:hAnsiTheme="minorHAnsi"/>
          <w:b/>
          <w:bCs/>
        </w:rPr>
        <w:t>SUTARTIES KAINA, APMOKĖJIMO SĄLYGOS</w:t>
      </w:r>
    </w:p>
    <w:p w14:paraId="2357223A" w14:textId="77777777" w:rsidR="00101EA0" w:rsidRPr="002E73BB" w:rsidRDefault="00101EA0" w:rsidP="00101EA0">
      <w:pPr>
        <w:pStyle w:val="ListParagraph"/>
        <w:widowControl w:val="0"/>
        <w:overflowPunct w:val="0"/>
        <w:autoSpaceDE w:val="0"/>
        <w:autoSpaceDN w:val="0"/>
        <w:adjustRightInd w:val="0"/>
        <w:spacing w:after="0" w:line="240" w:lineRule="auto"/>
        <w:ind w:left="0"/>
        <w:rPr>
          <w:rFonts w:asciiTheme="minorHAnsi" w:hAnsiTheme="minorHAnsi"/>
          <w:b/>
          <w:bCs/>
        </w:rPr>
      </w:pPr>
    </w:p>
    <w:p w14:paraId="2F98A884" w14:textId="77777777" w:rsidR="00CD5B51" w:rsidRPr="000D1B81" w:rsidRDefault="00CD5B51" w:rsidP="00CD5B51">
      <w:pPr>
        <w:pStyle w:val="ListParagraph"/>
        <w:widowControl w:val="0"/>
        <w:numPr>
          <w:ilvl w:val="0"/>
          <w:numId w:val="2"/>
        </w:numPr>
        <w:tabs>
          <w:tab w:val="left" w:pos="1134"/>
        </w:tabs>
        <w:overflowPunct w:val="0"/>
        <w:autoSpaceDE w:val="0"/>
        <w:autoSpaceDN w:val="0"/>
        <w:adjustRightInd w:val="0"/>
        <w:spacing w:after="0" w:line="240" w:lineRule="auto"/>
        <w:contextualSpacing/>
        <w:jc w:val="both"/>
        <w:rPr>
          <w:rFonts w:cs="Calibri"/>
          <w:bCs/>
        </w:rPr>
      </w:pPr>
      <w:r w:rsidRPr="000D1B81">
        <w:rPr>
          <w:rFonts w:cs="Calibri"/>
          <w:bCs/>
        </w:rPr>
        <w:t>Maksimali Sutarties kaina yra:</w:t>
      </w:r>
    </w:p>
    <w:p w14:paraId="0E859856" w14:textId="77777777" w:rsidR="00CD5B51" w:rsidRPr="000D1B81" w:rsidRDefault="00CD5B51" w:rsidP="00CD5B51">
      <w:pPr>
        <w:widowControl w:val="0"/>
        <w:numPr>
          <w:ilvl w:val="1"/>
          <w:numId w:val="2"/>
        </w:numPr>
        <w:overflowPunct w:val="0"/>
        <w:autoSpaceDE w:val="0"/>
        <w:autoSpaceDN w:val="0"/>
        <w:adjustRightInd w:val="0"/>
        <w:spacing w:after="0" w:line="240" w:lineRule="auto"/>
        <w:jc w:val="both"/>
        <w:rPr>
          <w:rFonts w:cs="Calibri"/>
          <w:bCs/>
        </w:rPr>
      </w:pPr>
      <w:r w:rsidRPr="000D1B81">
        <w:rPr>
          <w:rFonts w:cs="Calibri"/>
          <w:bCs/>
        </w:rPr>
        <w:t xml:space="preserve">Sutarties kaina be PVM – </w:t>
      </w:r>
      <w:r>
        <w:rPr>
          <w:rFonts w:cs="Calibri"/>
          <w:bCs/>
        </w:rPr>
        <w:t>7 5</w:t>
      </w:r>
      <w:r w:rsidRPr="000D1B81">
        <w:rPr>
          <w:rFonts w:cs="Calibri"/>
          <w:bCs/>
        </w:rPr>
        <w:t>00,00 eurų (</w:t>
      </w:r>
      <w:r>
        <w:rPr>
          <w:rFonts w:cs="Calibri"/>
          <w:bCs/>
        </w:rPr>
        <w:t>septyni tūkstančiai penki šimtai</w:t>
      </w:r>
      <w:r w:rsidRPr="000D1B81">
        <w:rPr>
          <w:rFonts w:cs="Calibri"/>
          <w:bCs/>
        </w:rPr>
        <w:t xml:space="preserve"> eurų);</w:t>
      </w:r>
    </w:p>
    <w:p w14:paraId="3631E08D" w14:textId="77777777" w:rsidR="00CD5B51" w:rsidRPr="000D1B81" w:rsidRDefault="00CD5B51" w:rsidP="00CD5B51">
      <w:pPr>
        <w:widowControl w:val="0"/>
        <w:numPr>
          <w:ilvl w:val="1"/>
          <w:numId w:val="2"/>
        </w:numPr>
        <w:overflowPunct w:val="0"/>
        <w:autoSpaceDE w:val="0"/>
        <w:autoSpaceDN w:val="0"/>
        <w:adjustRightInd w:val="0"/>
        <w:spacing w:after="0" w:line="240" w:lineRule="auto"/>
        <w:jc w:val="both"/>
        <w:rPr>
          <w:rFonts w:cs="Calibri"/>
          <w:bCs/>
        </w:rPr>
      </w:pPr>
      <w:r w:rsidRPr="000D1B81">
        <w:rPr>
          <w:rFonts w:cs="Calibri"/>
          <w:bCs/>
        </w:rPr>
        <w:t xml:space="preserve">21 proc. pridėtinės vertės mokestis (PVM) – </w:t>
      </w:r>
      <w:r>
        <w:rPr>
          <w:rFonts w:cs="Calibri"/>
          <w:bCs/>
        </w:rPr>
        <w:t>1 575</w:t>
      </w:r>
      <w:r w:rsidRPr="000D1B81">
        <w:rPr>
          <w:rFonts w:cs="Calibri"/>
          <w:bCs/>
        </w:rPr>
        <w:t>,00 eurų (</w:t>
      </w:r>
      <w:r>
        <w:rPr>
          <w:rFonts w:cs="Calibri"/>
          <w:bCs/>
        </w:rPr>
        <w:t>vienas tūkstantis penki šimtai septyniasdešimt penki eurai</w:t>
      </w:r>
      <w:r w:rsidRPr="000D1B81">
        <w:rPr>
          <w:rFonts w:cs="Calibri"/>
          <w:bCs/>
        </w:rPr>
        <w:t>);</w:t>
      </w:r>
    </w:p>
    <w:p w14:paraId="014C2553" w14:textId="0D5FE5AF" w:rsidR="00CD5B51" w:rsidRPr="00CD5B51" w:rsidRDefault="00CD5B51" w:rsidP="00CD5B51">
      <w:pPr>
        <w:widowControl w:val="0"/>
        <w:numPr>
          <w:ilvl w:val="1"/>
          <w:numId w:val="2"/>
        </w:numPr>
        <w:overflowPunct w:val="0"/>
        <w:autoSpaceDE w:val="0"/>
        <w:autoSpaceDN w:val="0"/>
        <w:adjustRightInd w:val="0"/>
        <w:spacing w:after="0" w:line="240" w:lineRule="auto"/>
        <w:jc w:val="both"/>
        <w:rPr>
          <w:rFonts w:cs="Calibri"/>
          <w:bCs/>
        </w:rPr>
      </w:pPr>
      <w:r w:rsidRPr="000D1B81">
        <w:rPr>
          <w:rFonts w:cs="Calibri"/>
          <w:bCs/>
        </w:rPr>
        <w:t xml:space="preserve">Sutarties kaina su PVM – </w:t>
      </w:r>
      <w:r>
        <w:rPr>
          <w:rFonts w:cs="Calibri"/>
          <w:bCs/>
        </w:rPr>
        <w:t>9 075</w:t>
      </w:r>
      <w:r w:rsidRPr="000D1B81">
        <w:rPr>
          <w:rFonts w:cs="Calibri"/>
          <w:bCs/>
        </w:rPr>
        <w:t>,00 eurų (</w:t>
      </w:r>
      <w:r>
        <w:rPr>
          <w:rFonts w:cs="Calibri"/>
          <w:bCs/>
        </w:rPr>
        <w:t>devyni tūkstančiai septyniasdešimt penki eurai</w:t>
      </w:r>
      <w:r w:rsidRPr="000D1B81">
        <w:rPr>
          <w:rFonts w:cs="Calibri"/>
          <w:bCs/>
        </w:rPr>
        <w:t>).</w:t>
      </w:r>
    </w:p>
    <w:p w14:paraId="61409573" w14:textId="5CD49658" w:rsidR="00CD5B51" w:rsidRDefault="005E51DC" w:rsidP="00CD5B51">
      <w:pPr>
        <w:pStyle w:val="ListParagraph"/>
        <w:widowControl w:val="0"/>
        <w:numPr>
          <w:ilvl w:val="0"/>
          <w:numId w:val="2"/>
        </w:numPr>
        <w:tabs>
          <w:tab w:val="left" w:pos="1170"/>
        </w:tabs>
        <w:overflowPunct w:val="0"/>
        <w:autoSpaceDE w:val="0"/>
        <w:autoSpaceDN w:val="0"/>
        <w:adjustRightInd w:val="0"/>
        <w:spacing w:after="0" w:line="240" w:lineRule="auto"/>
        <w:contextualSpacing/>
        <w:jc w:val="both"/>
        <w:rPr>
          <w:rFonts w:cs="Calibri"/>
          <w:bCs/>
        </w:rPr>
      </w:pPr>
      <w:r>
        <w:rPr>
          <w:rFonts w:cs="Calibri"/>
          <w:bCs/>
        </w:rPr>
        <w:t>Tie</w:t>
      </w:r>
      <w:r w:rsidR="00CD5B51" w:rsidRPr="000D1B81">
        <w:rPr>
          <w:rFonts w:cs="Calibri"/>
          <w:bCs/>
        </w:rPr>
        <w:t>kėjui bus mokama pagal Sutarties 2 priedo</w:t>
      </w:r>
      <w:r>
        <w:rPr>
          <w:rFonts w:cs="Calibri"/>
          <w:bCs/>
        </w:rPr>
        <w:t xml:space="preserve"> „Tie</w:t>
      </w:r>
      <w:r w:rsidR="00CD5B51" w:rsidRPr="000D1B81">
        <w:rPr>
          <w:rFonts w:cs="Calibri"/>
          <w:bCs/>
        </w:rPr>
        <w:t xml:space="preserve">kėjo pasiūlymas“ 3.1 punkto lentelė </w:t>
      </w:r>
      <w:r w:rsidR="00CD5B51" w:rsidRPr="002E021E">
        <w:rPr>
          <w:rFonts w:cs="Calibri"/>
          <w:bCs/>
        </w:rPr>
        <w:t>D</w:t>
      </w:r>
      <w:r w:rsidR="00CD5B51" w:rsidRPr="00303E7C">
        <w:rPr>
          <w:rFonts w:cs="Calibri"/>
          <w:bCs/>
          <w:color w:val="FF0000"/>
        </w:rPr>
        <w:t xml:space="preserve"> </w:t>
      </w:r>
      <w:r w:rsidR="00CD5B51" w:rsidRPr="000D1B81">
        <w:rPr>
          <w:rFonts w:cs="Calibri"/>
          <w:bCs/>
        </w:rPr>
        <w:t xml:space="preserve">stulpelyje </w:t>
      </w:r>
      <w:r w:rsidR="00CD5B51" w:rsidRPr="002E021E">
        <w:rPr>
          <w:rFonts w:cs="Calibri"/>
          <w:bCs/>
        </w:rPr>
        <w:t>nurodytus įkainius</w:t>
      </w:r>
      <w:r w:rsidR="003741FB" w:rsidRPr="002E021E">
        <w:rPr>
          <w:rFonts w:cs="Calibri"/>
          <w:bCs/>
        </w:rPr>
        <w:t>. Prekių</w:t>
      </w:r>
      <w:r w:rsidR="00CD5B51" w:rsidRPr="002E021E">
        <w:rPr>
          <w:rFonts w:cs="Calibri"/>
          <w:bCs/>
        </w:rPr>
        <w:t xml:space="preserve"> įkainiai yra fiksuoti ir nebus keičiami Suta</w:t>
      </w:r>
      <w:r w:rsidR="003741FB" w:rsidRPr="002E021E">
        <w:rPr>
          <w:rFonts w:cs="Calibri"/>
          <w:bCs/>
        </w:rPr>
        <w:t xml:space="preserve">rties galiojimo metu, išskyrus </w:t>
      </w:r>
      <w:r w:rsidR="00311535" w:rsidRPr="002A3238">
        <w:rPr>
          <w:rFonts w:cs="Calibri"/>
          <w:bCs/>
          <w:lang w:val="en-US"/>
        </w:rPr>
        <w:t>5</w:t>
      </w:r>
      <w:r w:rsidR="00CD5B51" w:rsidRPr="002A3238">
        <w:rPr>
          <w:rFonts w:cs="Calibri"/>
          <w:bCs/>
        </w:rPr>
        <w:t xml:space="preserve"> </w:t>
      </w:r>
      <w:r w:rsidR="00CD5B51" w:rsidRPr="002E021E">
        <w:rPr>
          <w:rFonts w:cs="Calibri"/>
          <w:bCs/>
        </w:rPr>
        <w:t xml:space="preserve">punkte nurodytą atvejį. </w:t>
      </w:r>
      <w:r w:rsidR="002A3238">
        <w:rPr>
          <w:rFonts w:cs="Calibri"/>
          <w:bCs/>
        </w:rPr>
        <w:t xml:space="preserve">Pirkėjas </w:t>
      </w:r>
      <w:r w:rsidR="00CD5B51" w:rsidRPr="002E021E">
        <w:rPr>
          <w:rFonts w:cs="Calibri"/>
          <w:bCs/>
        </w:rPr>
        <w:t>neįsi</w:t>
      </w:r>
      <w:r w:rsidR="003741FB" w:rsidRPr="002E021E">
        <w:rPr>
          <w:rFonts w:cs="Calibri"/>
          <w:bCs/>
        </w:rPr>
        <w:t>pareigoja nupirkti visų Prekių, o Tie</w:t>
      </w:r>
      <w:r w:rsidR="00CD5B51" w:rsidRPr="002E021E">
        <w:rPr>
          <w:rFonts w:cs="Calibri"/>
          <w:bCs/>
        </w:rPr>
        <w:t>kėjui bus mokama tik už faktiškai nupirktas prekes.</w:t>
      </w:r>
    </w:p>
    <w:p w14:paraId="0E392145" w14:textId="3DDE7152" w:rsidR="00311535" w:rsidRPr="00311535" w:rsidRDefault="002A3238" w:rsidP="002A3238">
      <w:pPr>
        <w:pStyle w:val="ListParagraph"/>
        <w:numPr>
          <w:ilvl w:val="0"/>
          <w:numId w:val="2"/>
        </w:numPr>
        <w:jc w:val="both"/>
        <w:rPr>
          <w:rFonts w:cs="Calibri"/>
          <w:bCs/>
        </w:rPr>
      </w:pPr>
      <w:r>
        <w:rPr>
          <w:rFonts w:cs="Calibri"/>
          <w:bCs/>
        </w:rPr>
        <w:t>Pirkėjas</w:t>
      </w:r>
      <w:r w:rsidR="00311535" w:rsidRPr="00311535">
        <w:rPr>
          <w:rFonts w:cs="Calibri"/>
          <w:bCs/>
        </w:rPr>
        <w:t xml:space="preserve"> esant poreikiui, gali įsigyti prekių sąraše nenurodytų, tačiau su pirkimo objektu susijusių prekių neviršijant 10 procentų Sutarties vertės. Už Prekių sąraše nenurodytas, tačiau su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 Tokio pobūdžio prekės užsakomos papildomai suderinus su Tiekėju pristatymo laiką ir kainą. </w:t>
      </w:r>
    </w:p>
    <w:p w14:paraId="5FDA83B0" w14:textId="77777777" w:rsidR="00101EA0" w:rsidRPr="008749D9" w:rsidRDefault="00101EA0" w:rsidP="00101EA0">
      <w:pPr>
        <w:pStyle w:val="ListParagraph"/>
        <w:widowControl w:val="0"/>
        <w:numPr>
          <w:ilvl w:val="0"/>
          <w:numId w:val="2"/>
        </w:numPr>
        <w:overflowPunct w:val="0"/>
        <w:autoSpaceDE w:val="0"/>
        <w:autoSpaceDN w:val="0"/>
        <w:adjustRightInd w:val="0"/>
        <w:spacing w:after="0" w:line="240" w:lineRule="auto"/>
        <w:jc w:val="both"/>
        <w:rPr>
          <w:rFonts w:cs="Calibri"/>
          <w:bCs/>
        </w:rPr>
      </w:pPr>
      <w:r w:rsidRPr="002E021E">
        <w:rPr>
          <w:rFonts w:cs="Calibri"/>
          <w:bCs/>
        </w:rPr>
        <w:t>Pasikeitus PVM tarifui</w:t>
      </w:r>
      <w:r w:rsidRPr="008749D9">
        <w:rPr>
          <w:rFonts w:cs="Calibri"/>
          <w:bCs/>
        </w:rPr>
        <w:t>, atitinkamai pasikeičia pagal Sutartį Tiekėjui mokėtinos sumos, kurioms taikomas PVM. Pasikeitęs PVM turės įt</w:t>
      </w:r>
      <w:r>
        <w:rPr>
          <w:rFonts w:cs="Calibri"/>
          <w:bCs/>
        </w:rPr>
        <w:t>akos tik atsiskaitymui už Prekes, už kurią</w:t>
      </w:r>
      <w:r w:rsidRPr="008749D9">
        <w:rPr>
          <w:rFonts w:cs="Calibri"/>
          <w:bCs/>
        </w:rPr>
        <w:t xml:space="preserve"> nebuvo išrašyta </w:t>
      </w:r>
      <w:r w:rsidR="00CB1FD2">
        <w:rPr>
          <w:rFonts w:cs="Calibri"/>
          <w:bCs/>
        </w:rPr>
        <w:t xml:space="preserve">PVM </w:t>
      </w:r>
      <w:r w:rsidRPr="008749D9">
        <w:rPr>
          <w:rFonts w:cs="Calibri"/>
          <w:bCs/>
        </w:rPr>
        <w:t>sąskaita faktūra.</w:t>
      </w:r>
    </w:p>
    <w:p w14:paraId="5CFAEF59" w14:textId="77777777" w:rsidR="00101EA0" w:rsidRPr="008749D9" w:rsidRDefault="00101EA0" w:rsidP="00101EA0">
      <w:pPr>
        <w:pStyle w:val="ListParagraph"/>
        <w:widowControl w:val="0"/>
        <w:numPr>
          <w:ilvl w:val="0"/>
          <w:numId w:val="2"/>
        </w:numPr>
        <w:overflowPunct w:val="0"/>
        <w:autoSpaceDE w:val="0"/>
        <w:autoSpaceDN w:val="0"/>
        <w:adjustRightInd w:val="0"/>
        <w:spacing w:after="0" w:line="240" w:lineRule="auto"/>
        <w:jc w:val="both"/>
        <w:rPr>
          <w:rFonts w:cs="Calibri"/>
          <w:bCs/>
        </w:rPr>
      </w:pPr>
      <w:r>
        <w:rPr>
          <w:rFonts w:cs="Calibri"/>
        </w:rPr>
        <w:t>Pirkėjas sumoka už Prekes</w:t>
      </w:r>
      <w:r w:rsidRPr="008749D9">
        <w:rPr>
          <w:rFonts w:cs="Calibri"/>
        </w:rPr>
        <w:t xml:space="preserve"> ne vėliau kaip per 30 kalendorinių dienų nuo PVM sąskaitos faktūros gavimo dienos. </w:t>
      </w:r>
    </w:p>
    <w:p w14:paraId="21BCFF34" w14:textId="77777777" w:rsidR="00101EA0" w:rsidRPr="00BD6C14" w:rsidRDefault="00BD6C14" w:rsidP="00BD6C14">
      <w:pPr>
        <w:spacing w:after="0" w:line="240" w:lineRule="auto"/>
        <w:jc w:val="both"/>
        <w:rPr>
          <w:rStyle w:val="Hyperlink"/>
          <w:rFonts w:eastAsia="HG Mincho Light J" w:cs="Calibri"/>
        </w:rPr>
      </w:pPr>
      <w:r>
        <w:rPr>
          <w:rFonts w:cs="Calibri"/>
        </w:rPr>
        <w:t xml:space="preserve">              6. </w:t>
      </w:r>
      <w:r w:rsidR="00101EA0" w:rsidRPr="00BD6C14">
        <w:rPr>
          <w:rFonts w:cs="Calibri"/>
        </w:rPr>
        <w:t xml:space="preserve">PVM sąskaita faktūra turi būti pateikta ne vėliau kaip per 5 darbo dienas nuo Prekių perdavimo  priėmimo akto pasirašymo dienos per informacinę sistemą „E. sąskaita“. Elektroninės paslaugos „E. sąskaita“ svetainė pasiekiama adresu </w:t>
      </w:r>
      <w:hyperlink r:id="rId7" w:history="1">
        <w:r w:rsidR="00101EA0" w:rsidRPr="00BD6C14">
          <w:rPr>
            <w:rStyle w:val="Hyperlink"/>
            <w:rFonts w:eastAsia="HG Mincho Light J" w:cs="Calibri"/>
          </w:rPr>
          <w:t>www.esaskaita.eu</w:t>
        </w:r>
      </w:hyperlink>
      <w:r w:rsidR="00101EA0" w:rsidRPr="00BD6C14">
        <w:rPr>
          <w:rStyle w:val="Hyperlink"/>
          <w:rFonts w:eastAsia="HG Mincho Light J" w:cs="Calibri"/>
        </w:rPr>
        <w:t>.</w:t>
      </w:r>
    </w:p>
    <w:p w14:paraId="6A972782" w14:textId="77777777" w:rsidR="00101EA0" w:rsidRPr="008749D9" w:rsidRDefault="00101EA0" w:rsidP="00101EA0">
      <w:pPr>
        <w:pStyle w:val="ListParagraph"/>
        <w:spacing w:after="0" w:line="240" w:lineRule="auto"/>
        <w:ind w:left="720"/>
        <w:jc w:val="both"/>
        <w:rPr>
          <w:rStyle w:val="Hyperlink"/>
          <w:rFonts w:eastAsia="HG Mincho Light J" w:cs="Calibri"/>
        </w:rPr>
      </w:pPr>
    </w:p>
    <w:p w14:paraId="43D39A37" w14:textId="77777777" w:rsidR="00101EA0" w:rsidRDefault="00101EA0" w:rsidP="00101EA0">
      <w:pPr>
        <w:pStyle w:val="ListParagraph"/>
        <w:widowControl w:val="0"/>
        <w:numPr>
          <w:ilvl w:val="0"/>
          <w:numId w:val="1"/>
        </w:numPr>
        <w:overflowPunct w:val="0"/>
        <w:autoSpaceDE w:val="0"/>
        <w:autoSpaceDN w:val="0"/>
        <w:adjustRightInd w:val="0"/>
        <w:spacing w:after="0" w:line="240" w:lineRule="auto"/>
        <w:jc w:val="center"/>
        <w:rPr>
          <w:rFonts w:cs="Calibri"/>
          <w:b/>
          <w:bCs/>
        </w:rPr>
      </w:pPr>
      <w:r w:rsidRPr="008749D9">
        <w:rPr>
          <w:rFonts w:cs="Calibri"/>
          <w:b/>
          <w:bCs/>
        </w:rPr>
        <w:t>PREKIŲ PERDAVIMO SĄLYGOS</w:t>
      </w:r>
    </w:p>
    <w:p w14:paraId="27D010B7" w14:textId="77777777" w:rsidR="00101EA0" w:rsidRPr="008749D9" w:rsidRDefault="00101EA0" w:rsidP="00101EA0">
      <w:pPr>
        <w:pStyle w:val="ListParagraph"/>
        <w:widowControl w:val="0"/>
        <w:overflowPunct w:val="0"/>
        <w:autoSpaceDE w:val="0"/>
        <w:autoSpaceDN w:val="0"/>
        <w:adjustRightInd w:val="0"/>
        <w:spacing w:after="0" w:line="240" w:lineRule="auto"/>
        <w:ind w:left="0"/>
        <w:rPr>
          <w:rFonts w:cs="Calibri"/>
          <w:b/>
          <w:bCs/>
        </w:rPr>
      </w:pPr>
    </w:p>
    <w:p w14:paraId="3F86F2BC" w14:textId="77777777" w:rsidR="00270A23" w:rsidRDefault="00C66295" w:rsidP="002E021E">
      <w:pPr>
        <w:spacing w:after="0" w:line="240" w:lineRule="auto"/>
        <w:ind w:left="720" w:hanging="11"/>
        <w:jc w:val="both"/>
        <w:rPr>
          <w:rFonts w:cs="Calibri"/>
          <w:bCs/>
        </w:rPr>
      </w:pPr>
      <w:r>
        <w:rPr>
          <w:rFonts w:cs="Calibri"/>
          <w:bCs/>
        </w:rPr>
        <w:t xml:space="preserve">7. </w:t>
      </w:r>
      <w:r w:rsidR="00101EA0" w:rsidRPr="00C66295">
        <w:rPr>
          <w:rFonts w:cs="Calibri"/>
          <w:bCs/>
        </w:rPr>
        <w:t>Prekių perdavimo priėmimo vieta – v</w:t>
      </w:r>
      <w:r w:rsidR="002E021E">
        <w:rPr>
          <w:rFonts w:cs="Calibri"/>
          <w:bCs/>
        </w:rPr>
        <w:t>alstybės įmonė „Oro navigacija“:</w:t>
      </w:r>
      <w:r w:rsidR="00101EA0" w:rsidRPr="00C66295">
        <w:rPr>
          <w:rFonts w:cs="Calibri"/>
          <w:bCs/>
        </w:rPr>
        <w:t xml:space="preserve"> </w:t>
      </w:r>
      <w:r w:rsidR="00101EA0" w:rsidRPr="002E021E">
        <w:rPr>
          <w:rFonts w:cs="Calibri"/>
          <w:bCs/>
        </w:rPr>
        <w:t>Balio Karvelio g. 25,</w:t>
      </w:r>
      <w:r w:rsidR="002E021E">
        <w:rPr>
          <w:rFonts w:cs="Calibri"/>
          <w:bCs/>
        </w:rPr>
        <w:t xml:space="preserve"> Vilnius, </w:t>
      </w:r>
    </w:p>
    <w:p w14:paraId="741E030F" w14:textId="32B0B11A" w:rsidR="00101EA0" w:rsidRPr="00C66295" w:rsidRDefault="002E021E" w:rsidP="00E87DAF">
      <w:pPr>
        <w:spacing w:after="0" w:line="240" w:lineRule="auto"/>
        <w:ind w:hanging="11"/>
        <w:jc w:val="both"/>
        <w:rPr>
          <w:rFonts w:cs="Calibri"/>
          <w:bCs/>
        </w:rPr>
      </w:pPr>
      <w:r>
        <w:rPr>
          <w:rFonts w:cs="Calibri"/>
          <w:bCs/>
        </w:rPr>
        <w:t>Oro uosto g. 4, Karmėlava, Kauno raj., Liepojos pl. 1, Palanga, Lakūnų g. 3. Šiauliai.</w:t>
      </w:r>
    </w:p>
    <w:p w14:paraId="3E685AB3" w14:textId="3543BFBC" w:rsidR="00101EA0" w:rsidRPr="008674EC" w:rsidRDefault="00C66295" w:rsidP="00C66295">
      <w:pPr>
        <w:spacing w:after="0" w:line="240" w:lineRule="auto"/>
        <w:jc w:val="both"/>
        <w:rPr>
          <w:rFonts w:cs="Calibri"/>
          <w:bCs/>
        </w:rPr>
      </w:pPr>
      <w:r>
        <w:rPr>
          <w:rFonts w:cs="Calibri"/>
          <w:bCs/>
        </w:rPr>
        <w:lastRenderedPageBreak/>
        <w:t xml:space="preserve">               8. </w:t>
      </w:r>
      <w:r w:rsidR="00101EA0" w:rsidRPr="00C66295">
        <w:rPr>
          <w:rFonts w:cs="Calibri"/>
          <w:bCs/>
        </w:rPr>
        <w:t xml:space="preserve">Tiekėjas turi perduoti Prekes Pirkėjui </w:t>
      </w:r>
      <w:r w:rsidR="002E021E" w:rsidRPr="008674EC">
        <w:rPr>
          <w:rFonts w:cs="Calibri"/>
          <w:bCs/>
        </w:rPr>
        <w:t>Techn</w:t>
      </w:r>
      <w:r w:rsidR="0031766C">
        <w:rPr>
          <w:rFonts w:cs="Calibri"/>
          <w:bCs/>
        </w:rPr>
        <w:t>inėje specifikacijoje nurodyta tvarka ir</w:t>
      </w:r>
      <w:r w:rsidR="002E021E" w:rsidRPr="008674EC">
        <w:rPr>
          <w:rFonts w:cs="Calibri"/>
          <w:bCs/>
        </w:rPr>
        <w:t xml:space="preserve"> terminais.</w:t>
      </w:r>
    </w:p>
    <w:p w14:paraId="446C4F6E" w14:textId="5865CA05" w:rsidR="00101EA0" w:rsidRPr="00C66295" w:rsidRDefault="00C66295" w:rsidP="00C66295">
      <w:pPr>
        <w:spacing w:after="0" w:line="240" w:lineRule="auto"/>
        <w:jc w:val="both"/>
        <w:rPr>
          <w:rFonts w:cs="Calibri"/>
          <w:lang w:eastAsia="en-US"/>
        </w:rPr>
      </w:pPr>
      <w:r>
        <w:rPr>
          <w:rFonts w:cs="Calibri"/>
          <w:lang w:eastAsia="en-US"/>
        </w:rPr>
        <w:t xml:space="preserve">               9. </w:t>
      </w:r>
      <w:r w:rsidR="00101EA0" w:rsidRPr="00C66295">
        <w:rPr>
          <w:rFonts w:cs="Calibri"/>
          <w:lang w:eastAsia="en-US"/>
        </w:rPr>
        <w:t xml:space="preserve">Prekės bus laikomos perduotomis, kai Tiekėjas perduos, o Pirkėjas priims Prekes Šalims pasirašant Prekių perdavimo priėmimo aktą, </w:t>
      </w:r>
      <w:r w:rsidR="00566140">
        <w:rPr>
          <w:rFonts w:cs="Calibri"/>
          <w:lang w:eastAsia="en-US"/>
        </w:rPr>
        <w:t>kurio forma pateikta Sutarties 3</w:t>
      </w:r>
      <w:r w:rsidR="00101EA0" w:rsidRPr="00C66295">
        <w:rPr>
          <w:rFonts w:cs="Calibri"/>
          <w:lang w:eastAsia="en-US"/>
        </w:rPr>
        <w:t xml:space="preserve"> priede.</w:t>
      </w:r>
    </w:p>
    <w:p w14:paraId="0A3016F7" w14:textId="7631848F" w:rsidR="00101EA0" w:rsidRDefault="00C66295" w:rsidP="00C66295">
      <w:pPr>
        <w:widowControl w:val="0"/>
        <w:overflowPunct w:val="0"/>
        <w:autoSpaceDE w:val="0"/>
        <w:autoSpaceDN w:val="0"/>
        <w:adjustRightInd w:val="0"/>
        <w:spacing w:after="0" w:line="240" w:lineRule="auto"/>
        <w:jc w:val="both"/>
        <w:rPr>
          <w:rFonts w:cs="Calibri"/>
          <w:lang w:eastAsia="en-US"/>
        </w:rPr>
      </w:pPr>
      <w:r>
        <w:rPr>
          <w:rFonts w:cs="Calibri"/>
          <w:lang w:eastAsia="en-US"/>
        </w:rPr>
        <w:t xml:space="preserve">              10. </w:t>
      </w:r>
      <w:r w:rsidR="00101EA0" w:rsidRPr="00C66295">
        <w:rPr>
          <w:rFonts w:cs="Calibri"/>
          <w:lang w:eastAsia="en-US"/>
        </w:rPr>
        <w:t>Tiekėjas įsipareigoja perduoti Pirkėjui Prekes, atitinkančias reikalavimus, nurodytus Sutarties 1 priede pateiktoje techninėje specifikacijoje.</w:t>
      </w:r>
    </w:p>
    <w:p w14:paraId="64B755C9" w14:textId="2A169A2A" w:rsidR="008674EC" w:rsidRPr="00C66295" w:rsidRDefault="00754532" w:rsidP="00754532">
      <w:pPr>
        <w:widowControl w:val="0"/>
        <w:overflowPunct w:val="0"/>
        <w:autoSpaceDE w:val="0"/>
        <w:autoSpaceDN w:val="0"/>
        <w:adjustRightInd w:val="0"/>
        <w:spacing w:after="0" w:line="240" w:lineRule="auto"/>
        <w:ind w:firstLine="709"/>
        <w:jc w:val="both"/>
        <w:rPr>
          <w:rFonts w:cs="Calibri"/>
          <w:bCs/>
        </w:rPr>
      </w:pPr>
      <w:r>
        <w:rPr>
          <w:rFonts w:cs="Calibri"/>
        </w:rPr>
        <w:t>11. Sutarties 2 priede „Tiekėjo pasiūlymas“ nurodytų prekių gamintojas gali būti pakeistas bendru Šalių susitarimu.</w:t>
      </w:r>
    </w:p>
    <w:p w14:paraId="71EDB9B3" w14:textId="77777777" w:rsidR="00101EA0" w:rsidRPr="00920A5E" w:rsidRDefault="00101EA0" w:rsidP="00101EA0">
      <w:pPr>
        <w:pStyle w:val="ListParagraph"/>
        <w:spacing w:after="0" w:line="240" w:lineRule="auto"/>
        <w:ind w:left="0"/>
        <w:jc w:val="both"/>
        <w:rPr>
          <w:rFonts w:asciiTheme="minorHAnsi" w:hAnsiTheme="minorHAnsi"/>
          <w:bCs/>
          <w:color w:val="5B9BD5" w:themeColor="accent1"/>
        </w:rPr>
      </w:pPr>
    </w:p>
    <w:p w14:paraId="47F9FC2B" w14:textId="77777777" w:rsidR="00101EA0" w:rsidRPr="002E73BB" w:rsidRDefault="00101EA0" w:rsidP="00101EA0">
      <w:pPr>
        <w:pStyle w:val="ListParagraph"/>
        <w:widowControl w:val="0"/>
        <w:numPr>
          <w:ilvl w:val="0"/>
          <w:numId w:val="1"/>
        </w:numPr>
        <w:overflowPunct w:val="0"/>
        <w:autoSpaceDE w:val="0"/>
        <w:autoSpaceDN w:val="0"/>
        <w:adjustRightInd w:val="0"/>
        <w:spacing w:after="0" w:line="240" w:lineRule="auto"/>
        <w:jc w:val="center"/>
        <w:rPr>
          <w:rFonts w:asciiTheme="minorHAnsi" w:hAnsiTheme="minorHAnsi"/>
          <w:bCs/>
        </w:rPr>
      </w:pPr>
      <w:r w:rsidRPr="002E73BB">
        <w:rPr>
          <w:rFonts w:asciiTheme="minorHAnsi" w:hAnsiTheme="minorHAnsi"/>
          <w:b/>
          <w:bCs/>
        </w:rPr>
        <w:t>ŠALIŲ ATSAKOMYBĖ</w:t>
      </w:r>
    </w:p>
    <w:p w14:paraId="5C4BC613" w14:textId="77777777" w:rsidR="00101EA0" w:rsidRPr="002E73BB" w:rsidRDefault="00101EA0" w:rsidP="00101EA0">
      <w:pPr>
        <w:widowControl w:val="0"/>
        <w:overflowPunct w:val="0"/>
        <w:autoSpaceDE w:val="0"/>
        <w:autoSpaceDN w:val="0"/>
        <w:adjustRightInd w:val="0"/>
        <w:spacing w:after="0" w:line="240" w:lineRule="auto"/>
        <w:jc w:val="center"/>
        <w:rPr>
          <w:rFonts w:asciiTheme="minorHAnsi" w:hAnsiTheme="minorHAnsi"/>
          <w:bCs/>
        </w:rPr>
      </w:pPr>
    </w:p>
    <w:p w14:paraId="61FAB98A" w14:textId="77777777" w:rsidR="00101EA0" w:rsidRPr="002E73BB" w:rsidRDefault="00C66295" w:rsidP="00101EA0">
      <w:pPr>
        <w:pStyle w:val="ListParagraph"/>
        <w:tabs>
          <w:tab w:val="left" w:pos="426"/>
          <w:tab w:val="left" w:pos="567"/>
        </w:tabs>
        <w:spacing w:after="0" w:line="240" w:lineRule="auto"/>
        <w:ind w:left="0" w:firstLine="720"/>
        <w:contextualSpacing/>
        <w:jc w:val="both"/>
        <w:rPr>
          <w:rFonts w:asciiTheme="minorHAnsi" w:hAnsiTheme="minorHAnsi"/>
        </w:rPr>
      </w:pPr>
      <w:r>
        <w:rPr>
          <w:rFonts w:asciiTheme="minorHAnsi" w:hAnsiTheme="minorHAnsi"/>
        </w:rPr>
        <w:t>11</w:t>
      </w:r>
      <w:r w:rsidR="00101EA0" w:rsidRPr="002E73BB">
        <w:rPr>
          <w:rFonts w:asciiTheme="minorHAnsi" w:hAnsiTheme="minorHAnsi"/>
        </w:rPr>
        <w:t>. Tiekėjui laiku neįvykdžius sutartinių įsipareigojimų, Pir</w:t>
      </w:r>
      <w:r w:rsidR="00101EA0">
        <w:rPr>
          <w:rFonts w:asciiTheme="minorHAnsi" w:hAnsiTheme="minorHAnsi"/>
        </w:rPr>
        <w:t>kėjas turi teisę reikalauti 0,04</w:t>
      </w:r>
      <w:r w:rsidR="00101EA0" w:rsidRPr="002E73BB">
        <w:rPr>
          <w:rFonts w:asciiTheme="minorHAnsi" w:hAnsiTheme="minorHAnsi"/>
        </w:rPr>
        <w:t xml:space="preserve"> proc. Sutarties kainos dydžio delspinigių už kiekvieną uždelstą dieną.</w:t>
      </w:r>
    </w:p>
    <w:p w14:paraId="6AACDFE3" w14:textId="77777777" w:rsidR="00101EA0" w:rsidRPr="002E73BB" w:rsidRDefault="00C66295" w:rsidP="00101EA0">
      <w:pPr>
        <w:pStyle w:val="ListParagraph"/>
        <w:tabs>
          <w:tab w:val="left" w:pos="426"/>
          <w:tab w:val="left" w:pos="567"/>
        </w:tabs>
        <w:spacing w:after="0" w:line="240" w:lineRule="auto"/>
        <w:ind w:left="0" w:firstLine="720"/>
        <w:contextualSpacing/>
        <w:jc w:val="both"/>
        <w:rPr>
          <w:rFonts w:asciiTheme="minorHAnsi" w:hAnsiTheme="minorHAnsi"/>
        </w:rPr>
      </w:pPr>
      <w:r>
        <w:rPr>
          <w:rFonts w:asciiTheme="minorHAnsi" w:hAnsiTheme="minorHAnsi"/>
        </w:rPr>
        <w:t>12</w:t>
      </w:r>
      <w:r w:rsidR="00101EA0" w:rsidRPr="002E73BB">
        <w:rPr>
          <w:rFonts w:asciiTheme="minorHAnsi" w:hAnsiTheme="minorHAnsi"/>
        </w:rPr>
        <w:t>. Pirkėjui laiku neatlikus mokėjimo, Tie</w:t>
      </w:r>
      <w:r w:rsidR="00101EA0">
        <w:rPr>
          <w:rFonts w:asciiTheme="minorHAnsi" w:hAnsiTheme="minorHAnsi"/>
        </w:rPr>
        <w:t>kėjas turi teisę reikalauti 0,04</w:t>
      </w:r>
      <w:r w:rsidR="00101EA0" w:rsidRPr="002E73BB">
        <w:rPr>
          <w:rFonts w:asciiTheme="minorHAnsi" w:hAnsiTheme="minorHAnsi"/>
        </w:rPr>
        <w:t xml:space="preserve"> proc. laiku nesumokėtos sumos dydžio delspinigių už kiekvieną uždelstą dieną.</w:t>
      </w:r>
    </w:p>
    <w:p w14:paraId="0515F1DE" w14:textId="77777777" w:rsidR="00101EA0" w:rsidRPr="002E73BB" w:rsidRDefault="00C66295" w:rsidP="00101EA0">
      <w:pPr>
        <w:pStyle w:val="ListParagraph"/>
        <w:widowControl w:val="0"/>
        <w:overflowPunct w:val="0"/>
        <w:autoSpaceDE w:val="0"/>
        <w:autoSpaceDN w:val="0"/>
        <w:adjustRightInd w:val="0"/>
        <w:spacing w:after="0" w:line="240" w:lineRule="auto"/>
        <w:ind w:left="0" w:firstLine="720"/>
        <w:jc w:val="both"/>
        <w:rPr>
          <w:rFonts w:asciiTheme="minorHAnsi" w:hAnsiTheme="minorHAnsi"/>
          <w:bCs/>
        </w:rPr>
      </w:pPr>
      <w:r>
        <w:rPr>
          <w:rFonts w:asciiTheme="minorHAnsi" w:hAnsiTheme="minorHAnsi"/>
          <w:bCs/>
        </w:rPr>
        <w:t>13</w:t>
      </w:r>
      <w:r w:rsidR="00101EA0" w:rsidRPr="002E73BB">
        <w:rPr>
          <w:rFonts w:asciiTheme="minorHAnsi" w:hAnsiTheme="minorHAnsi"/>
          <w:bCs/>
        </w:rPr>
        <w:t>.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35EC826D" w14:textId="77777777" w:rsidR="00101EA0" w:rsidRPr="002E73BB" w:rsidRDefault="00101EA0" w:rsidP="00101EA0">
      <w:pPr>
        <w:widowControl w:val="0"/>
        <w:suppressAutoHyphens/>
        <w:overflowPunct w:val="0"/>
        <w:autoSpaceDE w:val="0"/>
        <w:autoSpaceDN w:val="0"/>
        <w:adjustRightInd w:val="0"/>
        <w:spacing w:after="0" w:line="240" w:lineRule="auto"/>
        <w:ind w:left="720"/>
        <w:jc w:val="both"/>
        <w:rPr>
          <w:rFonts w:asciiTheme="minorHAnsi" w:hAnsiTheme="minorHAnsi"/>
          <w:bCs/>
        </w:rPr>
      </w:pPr>
    </w:p>
    <w:p w14:paraId="4D5472F4" w14:textId="77777777" w:rsidR="00101EA0" w:rsidRPr="002E73BB" w:rsidRDefault="00101EA0" w:rsidP="00101EA0">
      <w:pPr>
        <w:pStyle w:val="ListParagraph"/>
        <w:widowControl w:val="0"/>
        <w:numPr>
          <w:ilvl w:val="0"/>
          <w:numId w:val="1"/>
        </w:numPr>
        <w:overflowPunct w:val="0"/>
        <w:autoSpaceDE w:val="0"/>
        <w:autoSpaceDN w:val="0"/>
        <w:adjustRightInd w:val="0"/>
        <w:spacing w:after="0" w:line="240" w:lineRule="auto"/>
        <w:jc w:val="center"/>
        <w:rPr>
          <w:rFonts w:asciiTheme="minorHAnsi" w:hAnsiTheme="minorHAnsi"/>
        </w:rPr>
      </w:pPr>
      <w:r w:rsidRPr="002E73BB">
        <w:rPr>
          <w:rFonts w:asciiTheme="minorHAnsi" w:hAnsiTheme="minorHAnsi"/>
          <w:b/>
          <w:bCs/>
        </w:rPr>
        <w:t>NENUGALIMA JĖGA (FORCE MAJEURE)</w:t>
      </w:r>
    </w:p>
    <w:p w14:paraId="3BCACEEF" w14:textId="77777777" w:rsidR="00101EA0" w:rsidRPr="002E73BB" w:rsidRDefault="00101EA0" w:rsidP="00101EA0">
      <w:pPr>
        <w:widowControl w:val="0"/>
        <w:overflowPunct w:val="0"/>
        <w:autoSpaceDE w:val="0"/>
        <w:autoSpaceDN w:val="0"/>
        <w:adjustRightInd w:val="0"/>
        <w:spacing w:after="0" w:line="240" w:lineRule="auto"/>
        <w:jc w:val="center"/>
        <w:rPr>
          <w:rFonts w:asciiTheme="minorHAnsi" w:hAnsiTheme="minorHAnsi"/>
        </w:rPr>
      </w:pPr>
    </w:p>
    <w:p w14:paraId="6E718DEC" w14:textId="77777777" w:rsidR="00101EA0" w:rsidRPr="002E73BB" w:rsidRDefault="00C66295" w:rsidP="00101EA0">
      <w:pPr>
        <w:spacing w:after="0" w:line="240" w:lineRule="auto"/>
        <w:ind w:firstLine="720"/>
        <w:jc w:val="both"/>
        <w:rPr>
          <w:rFonts w:asciiTheme="minorHAnsi" w:eastAsia="Calibri" w:hAnsiTheme="minorHAnsi"/>
          <w:lang w:eastAsia="en-US"/>
        </w:rPr>
      </w:pPr>
      <w:r>
        <w:rPr>
          <w:rFonts w:asciiTheme="minorHAnsi" w:eastAsia="Calibri" w:hAnsiTheme="minorHAnsi"/>
          <w:lang w:eastAsia="en-US"/>
        </w:rPr>
        <w:t>14</w:t>
      </w:r>
      <w:r w:rsidR="00101EA0" w:rsidRPr="002E73BB">
        <w:rPr>
          <w:rFonts w:asciiTheme="minorHAnsi" w:eastAsia="Calibri" w:hAnsiTheme="minorHAnsi"/>
          <w:lang w:eastAsia="en-US"/>
        </w:rPr>
        <w:t>. Šalis nėra atsakinga už Sutarties įsipareigojimų nevykdymą ar netinkamą vykdymą, jeigu ji įrodo, kad tai įvyko dėl aplinkybių, kurių Šalis negalėjo kontroliuoti bei protingai numatyti Sutarties sudarymo metu, ir kad negalėjo jų išvengti ir pašalinti jokiomis priemonėmis (toliau – nenugalimos jėgos aplinkybės). Tokiu atveju Sutarties vykdymo terminai gali būti pratęsti rašytiniu Šalių susitarimu.</w:t>
      </w:r>
    </w:p>
    <w:p w14:paraId="155E948B" w14:textId="77777777" w:rsidR="00101EA0" w:rsidRPr="002E73BB" w:rsidRDefault="00C66295" w:rsidP="00101EA0">
      <w:pPr>
        <w:spacing w:after="0" w:line="240" w:lineRule="auto"/>
        <w:ind w:firstLine="720"/>
        <w:jc w:val="both"/>
        <w:rPr>
          <w:rFonts w:asciiTheme="minorHAnsi" w:eastAsia="Calibri" w:hAnsiTheme="minorHAnsi"/>
          <w:lang w:eastAsia="en-US"/>
        </w:rPr>
      </w:pPr>
      <w:r>
        <w:rPr>
          <w:rFonts w:asciiTheme="minorHAnsi" w:eastAsia="Calibri" w:hAnsiTheme="minorHAnsi"/>
          <w:lang w:eastAsia="en-US"/>
        </w:rPr>
        <w:t>15</w:t>
      </w:r>
      <w:r w:rsidR="00101EA0" w:rsidRPr="002E73BB">
        <w:rPr>
          <w:rFonts w:asciiTheme="minorHAnsi" w:eastAsia="Calibri" w:hAnsiTheme="minorHAnsi"/>
          <w:lang w:eastAsia="en-US"/>
        </w:rPr>
        <w:t xml:space="preserve">. Šalies finansinių lėšų nepakankamumas ar kontrahentų pažeisti įsipareigojimai nėra laikomi nenugalimos jėgos aplinkybe. </w:t>
      </w:r>
    </w:p>
    <w:p w14:paraId="68754B12" w14:textId="77777777" w:rsidR="00101EA0" w:rsidRPr="002E73BB" w:rsidRDefault="00C66295" w:rsidP="00101EA0">
      <w:pPr>
        <w:spacing w:after="0" w:line="240" w:lineRule="auto"/>
        <w:ind w:firstLine="720"/>
        <w:jc w:val="both"/>
        <w:rPr>
          <w:rFonts w:asciiTheme="minorHAnsi" w:eastAsia="Calibri" w:hAnsiTheme="minorHAnsi"/>
          <w:lang w:eastAsia="en-US"/>
        </w:rPr>
      </w:pPr>
      <w:r>
        <w:rPr>
          <w:rFonts w:asciiTheme="minorHAnsi" w:eastAsia="Calibri" w:hAnsiTheme="minorHAnsi"/>
          <w:lang w:eastAsia="en-US"/>
        </w:rPr>
        <w:t>16</w:t>
      </w:r>
      <w:r w:rsidR="00101EA0" w:rsidRPr="002E73BB">
        <w:rPr>
          <w:rFonts w:asciiTheme="minorHAnsi" w:eastAsia="Calibri" w:hAnsiTheme="minorHAnsi"/>
          <w:lang w:eastAsia="en-US"/>
        </w:rPr>
        <w:t xml:space="preserve">. Šalis kaip galima greičiau, bet ne vėliau kaip per trisdešimt dienų </w:t>
      </w:r>
      <w:r w:rsidR="00101EA0">
        <w:rPr>
          <w:rFonts w:asciiTheme="minorHAnsi" w:eastAsia="Calibri" w:hAnsiTheme="minorHAnsi"/>
          <w:lang w:eastAsia="en-US"/>
        </w:rPr>
        <w:t xml:space="preserve">nuo nenugalimos jėgos aplinkybių atsiradimo </w:t>
      </w:r>
      <w:r w:rsidR="00101EA0" w:rsidRPr="002E73BB">
        <w:rPr>
          <w:rFonts w:asciiTheme="minorHAnsi" w:eastAsia="Calibri" w:hAnsiTheme="minorHAnsi"/>
          <w:lang w:eastAsia="en-US"/>
        </w:rPr>
        <w:t>privalo pranešti kitai Šaliai apie nenugalimos jėgos aplinkybių atsiradimą, pateikdama įrodymus, kad ji ėmėsi visų pagrįstų atsargumo priemonių ir dėjo visas pastangas sumažinti neigiamas pasekmes, taip pat apie galimą įsipareigojimų įvykdymo terminą. Pranešimas taip pat turi būti pateikiamas kai išnyksta įsipareigojimų nevykdymo pagrindas.</w:t>
      </w:r>
    </w:p>
    <w:p w14:paraId="76CDE2AE" w14:textId="77777777" w:rsidR="00101EA0" w:rsidRPr="002E73BB" w:rsidRDefault="00C66295" w:rsidP="00101EA0">
      <w:pPr>
        <w:spacing w:after="0" w:line="240" w:lineRule="auto"/>
        <w:ind w:firstLine="720"/>
        <w:jc w:val="both"/>
        <w:rPr>
          <w:rFonts w:asciiTheme="minorHAnsi" w:eastAsia="Calibri" w:hAnsiTheme="minorHAnsi"/>
          <w:lang w:eastAsia="en-US"/>
        </w:rPr>
      </w:pPr>
      <w:r>
        <w:rPr>
          <w:rFonts w:asciiTheme="minorHAnsi" w:eastAsia="Calibri" w:hAnsiTheme="minorHAnsi"/>
          <w:lang w:eastAsia="en-US"/>
        </w:rPr>
        <w:t>17</w:t>
      </w:r>
      <w:r w:rsidR="00101EA0" w:rsidRPr="002E73BB">
        <w:rPr>
          <w:rFonts w:asciiTheme="minorHAnsi" w:eastAsia="Calibri" w:hAnsiTheme="minorHAnsi"/>
          <w:lang w:eastAsia="en-US"/>
        </w:rPr>
        <w:t xml:space="preserve">. Jei nenugalimos jėgos aplinkybės tęsiasi ilgiau nei tris mėnesius, bet kuri Šalis, pranešusi kitai Šaliai, turi teisę nutraukti Sutartį. Tokiu atveju Pirkėjas  privalo sumokėti Tiekėjui  už iki Sutarties nutraukimo nupirktas </w:t>
      </w:r>
      <w:r w:rsidR="00101EA0">
        <w:rPr>
          <w:rFonts w:asciiTheme="minorHAnsi" w:eastAsia="Calibri" w:hAnsiTheme="minorHAnsi"/>
          <w:lang w:eastAsia="en-US"/>
        </w:rPr>
        <w:t>P</w:t>
      </w:r>
      <w:r w:rsidR="00101EA0" w:rsidRPr="002E73BB">
        <w:rPr>
          <w:rFonts w:asciiTheme="minorHAnsi" w:eastAsia="Calibri" w:hAnsiTheme="minorHAnsi"/>
          <w:lang w:eastAsia="en-US"/>
        </w:rPr>
        <w:t>rekes.</w:t>
      </w:r>
    </w:p>
    <w:p w14:paraId="537E11B0" w14:textId="77777777" w:rsidR="00101EA0" w:rsidRPr="002E73BB" w:rsidRDefault="00101EA0" w:rsidP="00101EA0">
      <w:pPr>
        <w:pStyle w:val="ListParagraph"/>
        <w:widowControl w:val="0"/>
        <w:overflowPunct w:val="0"/>
        <w:autoSpaceDE w:val="0"/>
        <w:autoSpaceDN w:val="0"/>
        <w:adjustRightInd w:val="0"/>
        <w:spacing w:after="0" w:line="240" w:lineRule="auto"/>
        <w:ind w:left="0"/>
        <w:rPr>
          <w:rFonts w:asciiTheme="minorHAnsi" w:hAnsiTheme="minorHAnsi"/>
          <w:color w:val="000000" w:themeColor="text1"/>
        </w:rPr>
      </w:pPr>
    </w:p>
    <w:p w14:paraId="26797D1B" w14:textId="77777777" w:rsidR="00101EA0" w:rsidRPr="006702BF" w:rsidRDefault="00101EA0" w:rsidP="00101EA0">
      <w:pPr>
        <w:widowControl w:val="0"/>
        <w:numPr>
          <w:ilvl w:val="0"/>
          <w:numId w:val="1"/>
        </w:numPr>
        <w:overflowPunct w:val="0"/>
        <w:autoSpaceDE w:val="0"/>
        <w:autoSpaceDN w:val="0"/>
        <w:adjustRightInd w:val="0"/>
        <w:spacing w:after="0" w:line="240" w:lineRule="auto"/>
        <w:jc w:val="center"/>
        <w:rPr>
          <w:rFonts w:cs="Calibri"/>
          <w:bCs/>
        </w:rPr>
      </w:pPr>
      <w:r w:rsidRPr="006702BF">
        <w:rPr>
          <w:rFonts w:cs="Calibri"/>
          <w:b/>
          <w:bCs/>
        </w:rPr>
        <w:t>SUTARTIES GALIOJIMAS IR JOS NUTRAUKIMO TVARKA</w:t>
      </w:r>
    </w:p>
    <w:p w14:paraId="1DC14B6E" w14:textId="77777777" w:rsidR="00101EA0" w:rsidRPr="006702BF" w:rsidRDefault="00101EA0" w:rsidP="00101EA0">
      <w:pPr>
        <w:widowControl w:val="0"/>
        <w:overflowPunct w:val="0"/>
        <w:autoSpaceDE w:val="0"/>
        <w:autoSpaceDN w:val="0"/>
        <w:adjustRightInd w:val="0"/>
        <w:spacing w:after="0" w:line="240" w:lineRule="auto"/>
        <w:rPr>
          <w:rFonts w:cs="Calibri"/>
          <w:bCs/>
        </w:rPr>
      </w:pPr>
    </w:p>
    <w:p w14:paraId="1B776D8A" w14:textId="5DE107C4" w:rsidR="00101EA0" w:rsidRPr="006702BF" w:rsidRDefault="00824C69" w:rsidP="00824C69">
      <w:pPr>
        <w:widowControl w:val="0"/>
        <w:suppressAutoHyphens/>
        <w:overflowPunct w:val="0"/>
        <w:autoSpaceDE w:val="0"/>
        <w:autoSpaceDN w:val="0"/>
        <w:adjustRightInd w:val="0"/>
        <w:spacing w:after="0" w:line="240" w:lineRule="auto"/>
        <w:ind w:left="720"/>
        <w:jc w:val="both"/>
        <w:rPr>
          <w:rFonts w:cs="Calibri"/>
          <w:bCs/>
        </w:rPr>
      </w:pPr>
      <w:r>
        <w:rPr>
          <w:rFonts w:cs="Calibri"/>
          <w:bCs/>
        </w:rPr>
        <w:t xml:space="preserve">18. </w:t>
      </w:r>
      <w:r w:rsidR="00101EA0" w:rsidRPr="006702BF">
        <w:rPr>
          <w:rFonts w:cs="Calibri"/>
          <w:bCs/>
        </w:rPr>
        <w:t>Sutartis įsigalioja jos</w:t>
      </w:r>
      <w:r w:rsidR="00101EA0">
        <w:rPr>
          <w:rFonts w:cs="Calibri"/>
          <w:bCs/>
        </w:rPr>
        <w:t xml:space="preserve"> </w:t>
      </w:r>
      <w:r w:rsidR="00101EA0" w:rsidRPr="006702BF">
        <w:rPr>
          <w:rFonts w:cs="Calibri"/>
          <w:bCs/>
        </w:rPr>
        <w:t xml:space="preserve">pasirašymo dieną ir galioja </w:t>
      </w:r>
      <w:r w:rsidR="005E51DC">
        <w:rPr>
          <w:rFonts w:cs="Calibri"/>
          <w:bCs/>
        </w:rPr>
        <w:t>36 mėnesius</w:t>
      </w:r>
      <w:r w:rsidR="00101EA0" w:rsidRPr="006702BF">
        <w:rPr>
          <w:rFonts w:cs="Calibri"/>
          <w:bCs/>
        </w:rPr>
        <w:t>.</w:t>
      </w:r>
    </w:p>
    <w:p w14:paraId="4FB211E9" w14:textId="77777777" w:rsidR="00101EA0" w:rsidRPr="00824C69" w:rsidRDefault="00824C69" w:rsidP="00824C69">
      <w:pPr>
        <w:widowControl w:val="0"/>
        <w:suppressAutoHyphens/>
        <w:overflowPunct w:val="0"/>
        <w:autoSpaceDE w:val="0"/>
        <w:autoSpaceDN w:val="0"/>
        <w:adjustRightInd w:val="0"/>
        <w:spacing w:after="0" w:line="240" w:lineRule="auto"/>
        <w:jc w:val="both"/>
        <w:rPr>
          <w:rFonts w:cs="Calibri"/>
          <w:bCs/>
        </w:rPr>
      </w:pPr>
      <w:r>
        <w:rPr>
          <w:rFonts w:cs="Calibri"/>
          <w:bCs/>
        </w:rPr>
        <w:t xml:space="preserve">               19. </w:t>
      </w:r>
      <w:r w:rsidR="00101EA0" w:rsidRPr="00824C69">
        <w:rPr>
          <w:rFonts w:cs="Calibri"/>
          <w:bCs/>
        </w:rPr>
        <w:t>Sutartis gali būti nutraukta rašytiniu Šalių susitarimu arba Sutartyje numatyta tvarka.</w:t>
      </w:r>
      <w:r w:rsidR="00101EA0" w:rsidRPr="00824C69">
        <w:rPr>
          <w:rFonts w:cs="Calibri"/>
          <w:lang w:eastAsia="en-US"/>
        </w:rPr>
        <w:t xml:space="preserve"> </w:t>
      </w:r>
    </w:p>
    <w:p w14:paraId="7D65FC1F" w14:textId="77777777" w:rsidR="00101EA0" w:rsidRPr="006702BF" w:rsidRDefault="00824C69" w:rsidP="00824C69">
      <w:pPr>
        <w:widowControl w:val="0"/>
        <w:suppressAutoHyphens/>
        <w:overflowPunct w:val="0"/>
        <w:autoSpaceDE w:val="0"/>
        <w:autoSpaceDN w:val="0"/>
        <w:adjustRightInd w:val="0"/>
        <w:spacing w:after="0" w:line="240" w:lineRule="auto"/>
        <w:jc w:val="both"/>
        <w:rPr>
          <w:rFonts w:cs="Calibri"/>
          <w:bCs/>
        </w:rPr>
      </w:pPr>
      <w:r>
        <w:rPr>
          <w:rFonts w:cs="Calibri"/>
          <w:bCs/>
        </w:rPr>
        <w:t xml:space="preserve">               20. </w:t>
      </w:r>
      <w:r w:rsidR="00101EA0" w:rsidRPr="006702BF">
        <w:rPr>
          <w:rFonts w:cs="Calibri"/>
          <w:bCs/>
        </w:rPr>
        <w:t>Šalis turi teisę vienašališkai nutraukti Sutartį, raštu įspėjusi apie tai kitą Šalį ne vėliau kaip prieš 14 kalendorinių dienų, šiais atvejais:</w:t>
      </w:r>
    </w:p>
    <w:p w14:paraId="4C86215B" w14:textId="77777777" w:rsidR="00101EA0" w:rsidRPr="006702BF" w:rsidRDefault="00824C69" w:rsidP="00824C69">
      <w:pPr>
        <w:widowControl w:val="0"/>
        <w:suppressAutoHyphens/>
        <w:overflowPunct w:val="0"/>
        <w:autoSpaceDE w:val="0"/>
        <w:autoSpaceDN w:val="0"/>
        <w:adjustRightInd w:val="0"/>
        <w:spacing w:after="0" w:line="240" w:lineRule="auto"/>
        <w:jc w:val="both"/>
        <w:rPr>
          <w:rFonts w:cs="Calibri"/>
          <w:bCs/>
        </w:rPr>
      </w:pPr>
      <w:r>
        <w:rPr>
          <w:rFonts w:cs="Calibri"/>
          <w:bCs/>
        </w:rPr>
        <w:t xml:space="preserve">               20.1. </w:t>
      </w:r>
      <w:r w:rsidR="00101EA0" w:rsidRPr="006702BF">
        <w:rPr>
          <w:rFonts w:cs="Calibri"/>
          <w:bCs/>
        </w:rPr>
        <w:t>Tiekėjas per pagrįstai nustatytą laikotarpį neįvykdo Pirkėjo nurodymo ištaisyti netinkamai vykdomus sutartinius įsipareigojimus;</w:t>
      </w:r>
    </w:p>
    <w:p w14:paraId="50BA6FB5" w14:textId="77777777" w:rsidR="00101EA0" w:rsidRPr="006702BF" w:rsidRDefault="00824C69" w:rsidP="00824C69">
      <w:pPr>
        <w:widowControl w:val="0"/>
        <w:suppressAutoHyphens/>
        <w:overflowPunct w:val="0"/>
        <w:autoSpaceDE w:val="0"/>
        <w:autoSpaceDN w:val="0"/>
        <w:adjustRightInd w:val="0"/>
        <w:spacing w:after="0" w:line="240" w:lineRule="auto"/>
        <w:jc w:val="both"/>
        <w:rPr>
          <w:rFonts w:cs="Calibri"/>
          <w:bCs/>
        </w:rPr>
      </w:pPr>
      <w:r>
        <w:rPr>
          <w:rFonts w:cs="Calibri"/>
          <w:bCs/>
        </w:rPr>
        <w:t xml:space="preserve">               20.2. </w:t>
      </w:r>
      <w:r w:rsidR="00101EA0" w:rsidRPr="006702BF">
        <w:rPr>
          <w:rFonts w:cs="Calibri"/>
          <w:bCs/>
        </w:rPr>
        <w:t>Tiekėjui inicijuojama bankroto, restruktūrizavimo arba likvidavimo procedūra, arba jis sustabdo ūkinę veiklą;</w:t>
      </w:r>
    </w:p>
    <w:p w14:paraId="1B5C4FD1" w14:textId="04627D50" w:rsidR="00101EA0" w:rsidRDefault="00824C69" w:rsidP="00824C69">
      <w:pPr>
        <w:widowControl w:val="0"/>
        <w:suppressAutoHyphens/>
        <w:overflowPunct w:val="0"/>
        <w:autoSpaceDE w:val="0"/>
        <w:autoSpaceDN w:val="0"/>
        <w:adjustRightInd w:val="0"/>
        <w:spacing w:after="0" w:line="240" w:lineRule="auto"/>
        <w:jc w:val="both"/>
      </w:pPr>
      <w:r>
        <w:rPr>
          <w:rFonts w:cs="Calibri"/>
        </w:rPr>
        <w:t xml:space="preserve">               20.3. </w:t>
      </w:r>
      <w:r w:rsidR="00101EA0" w:rsidRPr="006702BF">
        <w:rPr>
          <w:rFonts w:cs="Calibri"/>
        </w:rPr>
        <w:t xml:space="preserve">Lietuvos Respublikos viešųjų pirkimų įstatymo </w:t>
      </w:r>
      <w:r w:rsidR="00101EA0" w:rsidRPr="006702BF">
        <w:t xml:space="preserve"> 90 straipsnyje nurodytais pagrindais;</w:t>
      </w:r>
    </w:p>
    <w:p w14:paraId="3F6ECF54" w14:textId="4DDFB6C6" w:rsidR="00101EA0" w:rsidRPr="006702BF" w:rsidRDefault="008674EC" w:rsidP="00824C69">
      <w:pPr>
        <w:widowControl w:val="0"/>
        <w:suppressAutoHyphens/>
        <w:overflowPunct w:val="0"/>
        <w:autoSpaceDE w:val="0"/>
        <w:autoSpaceDN w:val="0"/>
        <w:adjustRightInd w:val="0"/>
        <w:spacing w:after="0" w:line="240" w:lineRule="auto"/>
        <w:jc w:val="both"/>
        <w:rPr>
          <w:rFonts w:cs="Calibri"/>
          <w:bCs/>
        </w:rPr>
      </w:pPr>
      <w:r>
        <w:rPr>
          <w:rFonts w:cs="Calibri"/>
          <w:bCs/>
        </w:rPr>
        <w:t xml:space="preserve">               20.4. </w:t>
      </w:r>
      <w:r w:rsidR="00101EA0" w:rsidRPr="006702BF">
        <w:rPr>
          <w:rFonts w:cs="Calibri"/>
          <w:bCs/>
        </w:rPr>
        <w:t>dėl kitų Lietuvos Respublikos viešųjų pirkimų įstatyme nurodytų priežasčių;</w:t>
      </w:r>
    </w:p>
    <w:p w14:paraId="1914B185" w14:textId="52EE3199" w:rsidR="00101EA0" w:rsidRPr="006702BF" w:rsidRDefault="008674EC" w:rsidP="00824C69">
      <w:pPr>
        <w:widowControl w:val="0"/>
        <w:tabs>
          <w:tab w:val="left" w:pos="426"/>
        </w:tabs>
        <w:suppressAutoHyphens/>
        <w:overflowPunct w:val="0"/>
        <w:autoSpaceDE w:val="0"/>
        <w:autoSpaceDN w:val="0"/>
        <w:adjustRightInd w:val="0"/>
        <w:spacing w:after="0" w:line="240" w:lineRule="auto"/>
        <w:jc w:val="both"/>
        <w:rPr>
          <w:rFonts w:cs="Calibri"/>
          <w:bCs/>
        </w:rPr>
      </w:pPr>
      <w:r>
        <w:t xml:space="preserve">               20.5</w:t>
      </w:r>
      <w:r w:rsidR="00824C69">
        <w:t xml:space="preserve">. </w:t>
      </w:r>
      <w:r w:rsidR="00101EA0" w:rsidRPr="006702BF">
        <w:t>Pirkėjas vėluoja atlikti mokėjimą ilgiau kaip 30 kalendorinių dienų.</w:t>
      </w:r>
    </w:p>
    <w:p w14:paraId="49EAF34A" w14:textId="77777777" w:rsidR="00101EA0" w:rsidRPr="00824C69" w:rsidRDefault="00824C69" w:rsidP="00824C69">
      <w:pPr>
        <w:spacing w:after="0" w:line="240" w:lineRule="auto"/>
        <w:jc w:val="both"/>
        <w:rPr>
          <w:rFonts w:cs="Calibri"/>
          <w:lang w:eastAsia="en-US"/>
        </w:rPr>
      </w:pPr>
      <w:r>
        <w:rPr>
          <w:rFonts w:cs="Calibri"/>
          <w:bCs/>
        </w:rPr>
        <w:t xml:space="preserve">               21. </w:t>
      </w:r>
      <w:r w:rsidR="00101EA0" w:rsidRPr="00824C69">
        <w:rPr>
          <w:rFonts w:cs="Calibri"/>
          <w:bCs/>
        </w:rPr>
        <w:t xml:space="preserve">Sutarties sąlygos Sutarties galiojimo laikotarpiu gali būti keičiamos tik Lietuvos Respublikos </w:t>
      </w:r>
      <w:r w:rsidR="00101EA0" w:rsidRPr="00824C69">
        <w:rPr>
          <w:rFonts w:cs="Calibri"/>
          <w:lang w:eastAsia="en-US"/>
        </w:rPr>
        <w:t>viešųjų pirkimų įstatyme numatytais atvejais ir tvarka.</w:t>
      </w:r>
    </w:p>
    <w:p w14:paraId="55842BA8" w14:textId="77777777" w:rsidR="00101EA0" w:rsidRPr="006702BF" w:rsidRDefault="00101EA0" w:rsidP="00101EA0">
      <w:pPr>
        <w:spacing w:after="0" w:line="240" w:lineRule="auto"/>
        <w:jc w:val="both"/>
        <w:rPr>
          <w:rFonts w:cs="Calibri"/>
        </w:rPr>
      </w:pPr>
    </w:p>
    <w:p w14:paraId="4A8BBAB3" w14:textId="77777777" w:rsidR="00101EA0" w:rsidRPr="002E73BB" w:rsidRDefault="00101EA0" w:rsidP="00101EA0">
      <w:pPr>
        <w:spacing w:after="0" w:line="240" w:lineRule="auto"/>
        <w:jc w:val="both"/>
        <w:rPr>
          <w:rFonts w:asciiTheme="minorHAnsi" w:hAnsiTheme="minorHAnsi"/>
        </w:rPr>
      </w:pPr>
    </w:p>
    <w:p w14:paraId="6D8649BA" w14:textId="77777777" w:rsidR="00101EA0" w:rsidRPr="002E73BB" w:rsidRDefault="00101EA0" w:rsidP="00101EA0">
      <w:pPr>
        <w:pStyle w:val="ListParagraph"/>
        <w:numPr>
          <w:ilvl w:val="0"/>
          <w:numId w:val="1"/>
        </w:numPr>
        <w:spacing w:after="0" w:line="240" w:lineRule="auto"/>
        <w:jc w:val="center"/>
        <w:rPr>
          <w:rFonts w:asciiTheme="minorHAnsi" w:hAnsiTheme="minorHAnsi"/>
          <w:b/>
          <w:bCs/>
        </w:rPr>
      </w:pPr>
      <w:r w:rsidRPr="002E73BB">
        <w:rPr>
          <w:rFonts w:asciiTheme="minorHAnsi" w:hAnsiTheme="minorHAnsi"/>
          <w:b/>
          <w:bCs/>
        </w:rPr>
        <w:t>KONFIDENCIALUMAS</w:t>
      </w:r>
    </w:p>
    <w:p w14:paraId="53C76991" w14:textId="77777777" w:rsidR="00101EA0" w:rsidRPr="002E73BB" w:rsidRDefault="00101EA0" w:rsidP="00101EA0">
      <w:pPr>
        <w:spacing w:after="0" w:line="240" w:lineRule="auto"/>
        <w:jc w:val="center"/>
        <w:rPr>
          <w:rFonts w:asciiTheme="minorHAnsi" w:hAnsiTheme="minorHAnsi"/>
          <w:b/>
          <w:bCs/>
        </w:rPr>
      </w:pPr>
    </w:p>
    <w:p w14:paraId="2429C967" w14:textId="77777777" w:rsidR="00101EA0" w:rsidRPr="002E73BB" w:rsidRDefault="00824C69" w:rsidP="00101EA0">
      <w:pPr>
        <w:pStyle w:val="ListParagraph"/>
        <w:tabs>
          <w:tab w:val="left" w:pos="1134"/>
        </w:tabs>
        <w:spacing w:after="0" w:line="240" w:lineRule="auto"/>
        <w:ind w:left="0" w:firstLine="709"/>
        <w:jc w:val="both"/>
        <w:rPr>
          <w:rFonts w:asciiTheme="minorHAnsi" w:hAnsiTheme="minorHAnsi"/>
          <w:bCs/>
        </w:rPr>
      </w:pPr>
      <w:r>
        <w:rPr>
          <w:rFonts w:asciiTheme="minorHAnsi" w:hAnsiTheme="minorHAnsi"/>
          <w:bCs/>
        </w:rPr>
        <w:t>22</w:t>
      </w:r>
      <w:r w:rsidR="00101EA0" w:rsidRPr="002E73BB">
        <w:rPr>
          <w:rFonts w:asciiTheme="minorHAnsi" w:hAnsiTheme="minorHAnsi"/>
          <w:bCs/>
        </w:rPr>
        <w:t>. Sutarties Šalys įsipareigoja neatskleisti, neperduoti ar kitokiu būdu neperleisti tretiesiems asmenims jokios iš kitos Šalies Sutarties vykdymui gautos informacijos, ją saugoti, tinkamai ir protingai laikantis taikytinų profesinių standartų, naudoti šią informaciją tikrai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72203335" w14:textId="77777777" w:rsidR="00101EA0" w:rsidRPr="002E73BB" w:rsidRDefault="00101EA0" w:rsidP="00101EA0">
      <w:pPr>
        <w:spacing w:after="0" w:line="240" w:lineRule="auto"/>
        <w:jc w:val="both"/>
        <w:rPr>
          <w:rFonts w:asciiTheme="minorHAnsi" w:hAnsiTheme="minorHAnsi"/>
          <w:lang w:eastAsia="en-US"/>
        </w:rPr>
      </w:pPr>
    </w:p>
    <w:p w14:paraId="58595A55" w14:textId="77777777" w:rsidR="00101EA0" w:rsidRPr="002E73BB" w:rsidRDefault="00101EA0" w:rsidP="00101EA0">
      <w:pPr>
        <w:pStyle w:val="ListParagraph"/>
        <w:numPr>
          <w:ilvl w:val="0"/>
          <w:numId w:val="1"/>
        </w:numPr>
        <w:spacing w:after="0" w:line="240" w:lineRule="auto"/>
        <w:jc w:val="center"/>
        <w:rPr>
          <w:rFonts w:asciiTheme="minorHAnsi" w:hAnsiTheme="minorHAnsi"/>
          <w:b/>
          <w:bCs/>
        </w:rPr>
      </w:pPr>
      <w:r w:rsidRPr="002E73BB">
        <w:rPr>
          <w:rFonts w:asciiTheme="minorHAnsi" w:hAnsiTheme="minorHAnsi"/>
          <w:b/>
          <w:bCs/>
        </w:rPr>
        <w:t>BAIGIAMOSIOS NUOSTATOS</w:t>
      </w:r>
    </w:p>
    <w:p w14:paraId="76EB663D" w14:textId="77777777" w:rsidR="00101EA0" w:rsidRPr="002E73BB" w:rsidRDefault="00101EA0" w:rsidP="00101EA0">
      <w:pPr>
        <w:spacing w:after="0" w:line="240" w:lineRule="auto"/>
        <w:jc w:val="center"/>
        <w:rPr>
          <w:rFonts w:asciiTheme="minorHAnsi" w:hAnsiTheme="minorHAnsi"/>
          <w:b/>
          <w:bCs/>
        </w:rPr>
      </w:pPr>
    </w:p>
    <w:p w14:paraId="3FBE1990" w14:textId="77777777" w:rsidR="00101EA0" w:rsidRPr="002E73BB" w:rsidRDefault="00824C69" w:rsidP="00101EA0">
      <w:pPr>
        <w:pStyle w:val="ListParagraph"/>
        <w:widowControl w:val="0"/>
        <w:tabs>
          <w:tab w:val="left" w:pos="1134"/>
        </w:tabs>
        <w:suppressAutoHyphens/>
        <w:overflowPunct w:val="0"/>
        <w:autoSpaceDE w:val="0"/>
        <w:autoSpaceDN w:val="0"/>
        <w:adjustRightInd w:val="0"/>
        <w:spacing w:after="0" w:line="240" w:lineRule="auto"/>
        <w:ind w:left="0" w:firstLine="709"/>
        <w:jc w:val="both"/>
        <w:rPr>
          <w:rFonts w:asciiTheme="minorHAnsi" w:hAnsiTheme="minorHAnsi"/>
          <w:bCs/>
        </w:rPr>
      </w:pPr>
      <w:r>
        <w:rPr>
          <w:rFonts w:asciiTheme="minorHAnsi" w:hAnsiTheme="minorHAnsi"/>
          <w:bCs/>
        </w:rPr>
        <w:t>23</w:t>
      </w:r>
      <w:r w:rsidR="00101EA0" w:rsidRPr="002E73BB">
        <w:rPr>
          <w:rFonts w:asciiTheme="minorHAnsi" w:hAnsiTheme="minorHAnsi"/>
          <w:bCs/>
        </w:rPr>
        <w:t>. Pirkėjas turi teisę be kitos Šalies atskiro rašytinio sutikimo Sutartyje 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Tiekėją apie teisių ir pareigų perleidimą kitam juridiniam asmeniui per 5 (penkias) darbo dienas nuo teisių ir pareigų perleidimo.</w:t>
      </w:r>
    </w:p>
    <w:p w14:paraId="7AE77643" w14:textId="77777777" w:rsidR="00101EA0" w:rsidRPr="002E73BB" w:rsidRDefault="00824C69" w:rsidP="00101EA0">
      <w:pPr>
        <w:pStyle w:val="ListParagraph"/>
        <w:widowControl w:val="0"/>
        <w:tabs>
          <w:tab w:val="left" w:pos="1134"/>
        </w:tabs>
        <w:suppressAutoHyphens/>
        <w:overflowPunct w:val="0"/>
        <w:autoSpaceDE w:val="0"/>
        <w:autoSpaceDN w:val="0"/>
        <w:adjustRightInd w:val="0"/>
        <w:spacing w:after="0" w:line="240" w:lineRule="auto"/>
        <w:ind w:left="0" w:firstLine="709"/>
        <w:jc w:val="both"/>
        <w:rPr>
          <w:rFonts w:asciiTheme="minorHAnsi" w:hAnsiTheme="minorHAnsi"/>
          <w:bCs/>
        </w:rPr>
      </w:pPr>
      <w:r>
        <w:rPr>
          <w:rFonts w:asciiTheme="minorHAnsi" w:hAnsiTheme="minorHAnsi"/>
          <w:bCs/>
        </w:rPr>
        <w:t>24</w:t>
      </w:r>
      <w:r w:rsidR="00101EA0" w:rsidRPr="002E73BB">
        <w:rPr>
          <w:rFonts w:asciiTheme="minorHAnsi" w:hAnsiTheme="minorHAnsi"/>
          <w:bCs/>
        </w:rPr>
        <w:t>. Visi Sutarties pakeitimai, papildymai bei priedai, įforminti raštu ir pasirašyti Šalių įgaliotų atstovų, sudaro neatskiriamas Sutarties dalis.</w:t>
      </w:r>
    </w:p>
    <w:p w14:paraId="1CB0D716" w14:textId="77777777" w:rsidR="00101EA0" w:rsidRPr="002E73BB" w:rsidRDefault="00824C69" w:rsidP="00101EA0">
      <w:pPr>
        <w:pStyle w:val="ListParagraph"/>
        <w:tabs>
          <w:tab w:val="left" w:pos="1134"/>
        </w:tabs>
        <w:spacing w:after="0" w:line="240" w:lineRule="auto"/>
        <w:ind w:left="0" w:firstLine="709"/>
        <w:jc w:val="both"/>
        <w:rPr>
          <w:rFonts w:asciiTheme="minorHAnsi" w:eastAsia="Arial Unicode MS" w:hAnsiTheme="minorHAnsi"/>
          <w:color w:val="000000"/>
        </w:rPr>
      </w:pPr>
      <w:r>
        <w:rPr>
          <w:rFonts w:asciiTheme="minorHAnsi" w:eastAsia="Arial Unicode MS" w:hAnsiTheme="minorHAnsi"/>
          <w:color w:val="000000"/>
        </w:rPr>
        <w:t>25</w:t>
      </w:r>
      <w:r w:rsidR="00101EA0" w:rsidRPr="002E73BB">
        <w:rPr>
          <w:rFonts w:asciiTheme="minorHAnsi" w:eastAsia="Arial Unicode MS" w:hAnsiTheme="minorHAnsi"/>
          <w:color w:val="000000"/>
        </w:rPr>
        <w:t>. 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47382C73" w14:textId="77777777" w:rsidR="00101EA0" w:rsidRPr="002E73BB" w:rsidRDefault="00824C69" w:rsidP="00101EA0">
      <w:pPr>
        <w:pStyle w:val="ListParagraph"/>
        <w:tabs>
          <w:tab w:val="left" w:pos="1134"/>
        </w:tabs>
        <w:spacing w:after="0" w:line="240" w:lineRule="auto"/>
        <w:ind w:left="0" w:firstLine="709"/>
        <w:jc w:val="both"/>
        <w:rPr>
          <w:rFonts w:asciiTheme="minorHAnsi" w:eastAsia="Arial Unicode MS" w:hAnsiTheme="minorHAnsi"/>
          <w:color w:val="000000"/>
        </w:rPr>
      </w:pPr>
      <w:r>
        <w:rPr>
          <w:rFonts w:asciiTheme="minorHAnsi" w:eastAsia="Arial Unicode MS" w:hAnsiTheme="minorHAnsi"/>
          <w:color w:val="000000"/>
        </w:rPr>
        <w:t>26</w:t>
      </w:r>
      <w:r w:rsidR="00101EA0" w:rsidRPr="002E73BB">
        <w:rPr>
          <w:rFonts w:asciiTheme="minorHAnsi" w:eastAsia="Arial Unicode MS" w:hAnsiTheme="minorHAnsi"/>
          <w:color w:val="000000"/>
        </w:rPr>
        <w:t>. Šalių siunčiamuose pranešimuose, prašymuose, reikalavimuose, sąskaitose, aktuose ir kitoje korespondencijoje turi būti nurodomas Sutarties numeris ir data.</w:t>
      </w:r>
    </w:p>
    <w:p w14:paraId="510E203A" w14:textId="77777777" w:rsidR="00101EA0" w:rsidRPr="002E73BB" w:rsidRDefault="00824C69" w:rsidP="00101EA0">
      <w:pPr>
        <w:pStyle w:val="ListParagraph"/>
        <w:tabs>
          <w:tab w:val="left" w:pos="1134"/>
        </w:tabs>
        <w:spacing w:after="0" w:line="240" w:lineRule="auto"/>
        <w:ind w:left="709"/>
        <w:jc w:val="both"/>
        <w:rPr>
          <w:rFonts w:asciiTheme="minorHAnsi" w:eastAsia="Arial Unicode MS" w:hAnsiTheme="minorHAnsi"/>
          <w:color w:val="000000"/>
        </w:rPr>
      </w:pPr>
      <w:r>
        <w:rPr>
          <w:rFonts w:asciiTheme="minorHAnsi" w:eastAsia="Arial Unicode MS" w:hAnsiTheme="minorHAnsi"/>
          <w:color w:val="000000"/>
        </w:rPr>
        <w:t>27</w:t>
      </w:r>
      <w:r w:rsidR="00101EA0" w:rsidRPr="002E73BB">
        <w:rPr>
          <w:rFonts w:asciiTheme="minorHAnsi" w:eastAsia="Arial Unicode MS" w:hAnsiTheme="minorHAnsi"/>
          <w:color w:val="000000"/>
        </w:rPr>
        <w:t>. Sutarčiai taikoma ir ji aiškinama pagal Lietuvos Respublikos teisę.</w:t>
      </w:r>
    </w:p>
    <w:p w14:paraId="25F732DB" w14:textId="77777777" w:rsidR="00101EA0" w:rsidRPr="002E73BB" w:rsidRDefault="00824C69" w:rsidP="00101EA0">
      <w:pPr>
        <w:pStyle w:val="ListParagraph"/>
        <w:tabs>
          <w:tab w:val="left" w:pos="1134"/>
        </w:tabs>
        <w:spacing w:after="0" w:line="240" w:lineRule="auto"/>
        <w:ind w:left="0" w:firstLine="709"/>
        <w:jc w:val="both"/>
        <w:rPr>
          <w:rFonts w:asciiTheme="minorHAnsi" w:eastAsia="Arial Unicode MS" w:hAnsiTheme="minorHAnsi"/>
          <w:color w:val="000000"/>
        </w:rPr>
      </w:pPr>
      <w:r>
        <w:rPr>
          <w:rFonts w:asciiTheme="minorHAnsi" w:eastAsia="Arial Unicode MS" w:hAnsiTheme="minorHAnsi"/>
          <w:color w:val="000000"/>
        </w:rPr>
        <w:t>28</w:t>
      </w:r>
      <w:r w:rsidR="00101EA0" w:rsidRPr="002E73BB">
        <w:rPr>
          <w:rFonts w:asciiTheme="minorHAnsi" w:eastAsia="Arial Unicode MS" w:hAnsiTheme="minorHAnsi"/>
          <w:color w:val="000000"/>
        </w:rPr>
        <w:t>. Ginčai sprendžiami derybomis, taip ginčo nepavykus išspręsti per 30 dienų, jis gali būti perduotas nagrinėti  teismui Lietuvos Respublikos įstatymų nustatyta tvarka.</w:t>
      </w:r>
    </w:p>
    <w:p w14:paraId="1766B09C" w14:textId="77777777" w:rsidR="00101EA0" w:rsidRPr="002E73BB" w:rsidRDefault="00824C69" w:rsidP="00101EA0">
      <w:pPr>
        <w:pStyle w:val="ListParagraph"/>
        <w:tabs>
          <w:tab w:val="left" w:pos="1134"/>
        </w:tabs>
        <w:spacing w:after="0" w:line="240" w:lineRule="auto"/>
        <w:ind w:left="0" w:firstLine="709"/>
        <w:jc w:val="both"/>
        <w:rPr>
          <w:rFonts w:asciiTheme="minorHAnsi" w:eastAsia="Arial Unicode MS" w:hAnsiTheme="minorHAnsi"/>
          <w:color w:val="000000"/>
        </w:rPr>
      </w:pPr>
      <w:r>
        <w:rPr>
          <w:rFonts w:asciiTheme="minorHAnsi" w:eastAsia="Arial Unicode MS" w:hAnsiTheme="minorHAnsi"/>
          <w:color w:val="000000"/>
        </w:rPr>
        <w:t>29</w:t>
      </w:r>
      <w:r w:rsidR="00101EA0" w:rsidRPr="002E73BB">
        <w:rPr>
          <w:rFonts w:asciiTheme="minorHAnsi" w:eastAsia="Arial Unicode MS" w:hAnsiTheme="minorHAnsi"/>
          <w:color w:val="000000"/>
        </w:rPr>
        <w:t>. Sutartis sudaryta lietuvių kalba 2 vienodą teisinę galią turinčiais egzemplioriais, po vieną kiekvienai Šaliai.</w:t>
      </w:r>
    </w:p>
    <w:p w14:paraId="59921B39" w14:textId="77777777" w:rsidR="00101EA0" w:rsidRPr="002E73BB" w:rsidRDefault="00824C69" w:rsidP="00101EA0">
      <w:pPr>
        <w:pStyle w:val="ListParagraph"/>
        <w:tabs>
          <w:tab w:val="left" w:pos="1134"/>
        </w:tabs>
        <w:spacing w:after="0" w:line="240" w:lineRule="auto"/>
        <w:ind w:left="709"/>
        <w:jc w:val="both"/>
        <w:rPr>
          <w:rFonts w:asciiTheme="minorHAnsi" w:eastAsia="Arial Unicode MS" w:hAnsiTheme="minorHAnsi"/>
          <w:color w:val="000000"/>
        </w:rPr>
      </w:pPr>
      <w:r>
        <w:rPr>
          <w:rFonts w:asciiTheme="minorHAnsi" w:eastAsia="Arial Unicode MS" w:hAnsiTheme="minorHAnsi"/>
          <w:color w:val="000000"/>
        </w:rPr>
        <w:t>30</w:t>
      </w:r>
      <w:r w:rsidR="00101EA0" w:rsidRPr="002E73BB">
        <w:rPr>
          <w:rFonts w:asciiTheme="minorHAnsi" w:eastAsia="Arial Unicode MS" w:hAnsiTheme="minorHAnsi"/>
          <w:color w:val="000000"/>
        </w:rPr>
        <w:t>. Už Sutarties vykdymą atsakingi asmenys:</w:t>
      </w:r>
    </w:p>
    <w:p w14:paraId="04469216" w14:textId="2AD0CFE7" w:rsidR="0075434F" w:rsidRDefault="00824C69" w:rsidP="0075434F">
      <w:pPr>
        <w:tabs>
          <w:tab w:val="left" w:pos="1134"/>
          <w:tab w:val="left" w:pos="1560"/>
        </w:tabs>
        <w:spacing w:after="0" w:line="240" w:lineRule="auto"/>
        <w:ind w:firstLine="709"/>
        <w:jc w:val="both"/>
        <w:rPr>
          <w:rFonts w:asciiTheme="minorHAnsi" w:eastAsia="Arial Unicode MS" w:hAnsiTheme="minorHAnsi"/>
        </w:rPr>
      </w:pPr>
      <w:r>
        <w:rPr>
          <w:rFonts w:asciiTheme="minorHAnsi" w:eastAsia="Arial Unicode MS" w:hAnsiTheme="minorHAnsi"/>
          <w:color w:val="000000"/>
        </w:rPr>
        <w:t>30</w:t>
      </w:r>
      <w:r w:rsidR="00101EA0" w:rsidRPr="002E73BB">
        <w:rPr>
          <w:rFonts w:asciiTheme="minorHAnsi" w:eastAsia="Arial Unicode MS" w:hAnsiTheme="minorHAnsi"/>
          <w:color w:val="000000"/>
        </w:rPr>
        <w:t xml:space="preserve">.1. </w:t>
      </w:r>
      <w:r w:rsidR="00101EA0" w:rsidRPr="00DD0A9E">
        <w:rPr>
          <w:rFonts w:asciiTheme="minorHAnsi" w:eastAsia="Arial Unicode MS" w:hAnsiTheme="minorHAnsi"/>
          <w:color w:val="000000"/>
        </w:rPr>
        <w:t>Pirkėjo atstovas –</w:t>
      </w:r>
    </w:p>
    <w:p w14:paraId="799B4308" w14:textId="7490A0F0" w:rsidR="00101EA0" w:rsidRPr="009E66A8" w:rsidRDefault="00824C69" w:rsidP="00617AE4">
      <w:pPr>
        <w:tabs>
          <w:tab w:val="left" w:pos="1134"/>
          <w:tab w:val="left" w:pos="1560"/>
        </w:tabs>
        <w:spacing w:after="0" w:line="240" w:lineRule="auto"/>
        <w:ind w:firstLine="709"/>
        <w:jc w:val="both"/>
        <w:rPr>
          <w:rFonts w:asciiTheme="minorHAnsi" w:eastAsia="Arial Unicode MS" w:hAnsiTheme="minorHAnsi"/>
          <w:lang w:val="en-US"/>
        </w:rPr>
      </w:pPr>
      <w:r w:rsidRPr="00DD0A9E">
        <w:rPr>
          <w:rFonts w:asciiTheme="minorHAnsi" w:eastAsia="Arial Unicode MS" w:hAnsiTheme="minorHAnsi"/>
          <w:color w:val="000000"/>
        </w:rPr>
        <w:t>30</w:t>
      </w:r>
      <w:r w:rsidR="00101EA0" w:rsidRPr="009E66A8">
        <w:rPr>
          <w:rFonts w:asciiTheme="minorHAnsi" w:eastAsia="Arial Unicode MS" w:hAnsiTheme="minorHAnsi"/>
          <w:color w:val="000000"/>
        </w:rPr>
        <w:t>.2. Tiekėjo atstovas –</w:t>
      </w:r>
      <w:r w:rsidR="00101EA0" w:rsidRPr="00DD0A9E">
        <w:rPr>
          <w:rFonts w:asciiTheme="minorHAnsi" w:eastAsia="Arial Unicode MS" w:hAnsiTheme="minorHAnsi"/>
          <w:color w:val="000000"/>
        </w:rPr>
        <w:t xml:space="preserve"> </w:t>
      </w:r>
      <w:r w:rsidR="00DD0A9E" w:rsidRPr="00DD0A9E">
        <w:rPr>
          <w:rFonts w:asciiTheme="minorHAnsi" w:eastAsia="Arial Unicode MS" w:hAnsiTheme="minorHAnsi"/>
          <w:color w:val="000000"/>
        </w:rPr>
        <w:t xml:space="preserve"> </w:t>
      </w:r>
      <w:bookmarkStart w:id="0" w:name="_GoBack"/>
      <w:bookmarkEnd w:id="0"/>
    </w:p>
    <w:p w14:paraId="54677ECB" w14:textId="77777777" w:rsidR="00101EA0" w:rsidRPr="002E73BB" w:rsidRDefault="00101EA0" w:rsidP="00101EA0">
      <w:pPr>
        <w:tabs>
          <w:tab w:val="left" w:pos="1134"/>
        </w:tabs>
        <w:spacing w:after="0" w:line="240" w:lineRule="auto"/>
        <w:ind w:firstLine="709"/>
        <w:jc w:val="both"/>
        <w:rPr>
          <w:rFonts w:asciiTheme="minorHAnsi" w:hAnsiTheme="minorHAnsi"/>
          <w:lang w:val="en-US"/>
        </w:rPr>
      </w:pPr>
    </w:p>
    <w:p w14:paraId="21781960" w14:textId="77777777" w:rsidR="00101EA0" w:rsidRPr="002E73BB" w:rsidRDefault="00101EA0" w:rsidP="00101EA0">
      <w:pPr>
        <w:pStyle w:val="ListParagraph"/>
        <w:numPr>
          <w:ilvl w:val="0"/>
          <w:numId w:val="1"/>
        </w:numPr>
        <w:spacing w:after="0" w:line="240" w:lineRule="auto"/>
        <w:jc w:val="center"/>
        <w:rPr>
          <w:rFonts w:asciiTheme="minorHAnsi" w:hAnsiTheme="minorHAnsi"/>
          <w:b/>
          <w:bCs/>
        </w:rPr>
      </w:pPr>
      <w:r w:rsidRPr="002E73BB">
        <w:rPr>
          <w:rFonts w:asciiTheme="minorHAnsi" w:hAnsiTheme="minorHAnsi"/>
          <w:b/>
          <w:bCs/>
        </w:rPr>
        <w:t>PRIEDAI</w:t>
      </w:r>
    </w:p>
    <w:p w14:paraId="1772335F" w14:textId="77777777" w:rsidR="00101EA0" w:rsidRPr="002E73BB" w:rsidRDefault="00101EA0" w:rsidP="00101EA0">
      <w:pPr>
        <w:spacing w:after="0" w:line="240" w:lineRule="auto"/>
        <w:jc w:val="center"/>
        <w:rPr>
          <w:rFonts w:asciiTheme="minorHAnsi" w:hAnsiTheme="minorHAnsi"/>
          <w:b/>
          <w:bCs/>
        </w:rPr>
      </w:pPr>
    </w:p>
    <w:p w14:paraId="13297F88" w14:textId="77777777" w:rsidR="00101EA0" w:rsidRPr="002E73BB" w:rsidRDefault="00824C69" w:rsidP="00101EA0">
      <w:pPr>
        <w:tabs>
          <w:tab w:val="left" w:pos="1134"/>
        </w:tabs>
        <w:spacing w:after="0" w:line="240" w:lineRule="auto"/>
        <w:ind w:firstLine="709"/>
        <w:jc w:val="both"/>
        <w:rPr>
          <w:rFonts w:asciiTheme="minorHAnsi" w:eastAsia="Arial Unicode MS" w:hAnsiTheme="minorHAnsi"/>
          <w:color w:val="000000"/>
        </w:rPr>
      </w:pPr>
      <w:r>
        <w:rPr>
          <w:rFonts w:asciiTheme="minorHAnsi" w:eastAsia="Arial Unicode MS" w:hAnsiTheme="minorHAnsi"/>
          <w:color w:val="000000"/>
        </w:rPr>
        <w:t>31</w:t>
      </w:r>
      <w:r w:rsidR="00101EA0" w:rsidRPr="002E73BB">
        <w:rPr>
          <w:rFonts w:asciiTheme="minorHAnsi" w:eastAsia="Arial Unicode MS" w:hAnsiTheme="minorHAnsi"/>
          <w:color w:val="000000"/>
        </w:rPr>
        <w:t>. Pirkimo sąlygos, jų paaiškinimai ir patikslinimai bei šie priedai yra neatskiriama Sutarties dalis:</w:t>
      </w:r>
    </w:p>
    <w:p w14:paraId="3A0E4AD7" w14:textId="77777777" w:rsidR="00101EA0" w:rsidRPr="002E73BB" w:rsidRDefault="00824C69" w:rsidP="00101EA0">
      <w:pPr>
        <w:pStyle w:val="ListParagraph"/>
        <w:tabs>
          <w:tab w:val="left" w:pos="1134"/>
        </w:tabs>
        <w:spacing w:after="0" w:line="240" w:lineRule="auto"/>
        <w:ind w:left="1560" w:hanging="851"/>
        <w:jc w:val="both"/>
        <w:rPr>
          <w:rFonts w:asciiTheme="minorHAnsi" w:eastAsia="Arial Unicode MS" w:hAnsiTheme="minorHAnsi"/>
          <w:color w:val="000000"/>
        </w:rPr>
      </w:pPr>
      <w:r>
        <w:rPr>
          <w:rFonts w:asciiTheme="minorHAnsi" w:eastAsia="Arial Unicode MS" w:hAnsiTheme="minorHAnsi"/>
          <w:color w:val="000000"/>
        </w:rPr>
        <w:t>31</w:t>
      </w:r>
      <w:r w:rsidR="00101EA0" w:rsidRPr="002E73BB">
        <w:rPr>
          <w:rFonts w:asciiTheme="minorHAnsi" w:eastAsia="Arial Unicode MS" w:hAnsiTheme="minorHAnsi"/>
          <w:color w:val="000000"/>
        </w:rPr>
        <w:t>.1. 1 priedas. Techninė specifikacija;</w:t>
      </w:r>
    </w:p>
    <w:p w14:paraId="5159EA0E" w14:textId="10E8C9F6" w:rsidR="00101EA0" w:rsidRPr="002E73BB" w:rsidRDefault="00824C69" w:rsidP="00101EA0">
      <w:pPr>
        <w:pStyle w:val="ListParagraph"/>
        <w:tabs>
          <w:tab w:val="left" w:pos="1134"/>
        </w:tabs>
        <w:spacing w:after="0" w:line="240" w:lineRule="auto"/>
        <w:ind w:left="1560" w:hanging="851"/>
        <w:jc w:val="both"/>
        <w:rPr>
          <w:rFonts w:asciiTheme="minorHAnsi" w:eastAsia="Arial Unicode MS" w:hAnsiTheme="minorHAnsi"/>
          <w:color w:val="000000"/>
        </w:rPr>
      </w:pPr>
      <w:r>
        <w:rPr>
          <w:rFonts w:asciiTheme="minorHAnsi" w:eastAsia="Arial Unicode MS" w:hAnsiTheme="minorHAnsi"/>
          <w:color w:val="000000"/>
        </w:rPr>
        <w:t>31</w:t>
      </w:r>
      <w:r w:rsidR="00101EA0" w:rsidRPr="002E73BB">
        <w:rPr>
          <w:rFonts w:asciiTheme="minorHAnsi" w:eastAsia="Arial Unicode MS" w:hAnsiTheme="minorHAnsi"/>
          <w:color w:val="000000"/>
        </w:rPr>
        <w:t xml:space="preserve">.2. 2 priedas. </w:t>
      </w:r>
      <w:r w:rsidR="00CB1FD2">
        <w:rPr>
          <w:rFonts w:asciiTheme="minorHAnsi" w:eastAsia="Arial Unicode MS" w:hAnsiTheme="minorHAnsi"/>
          <w:color w:val="000000"/>
        </w:rPr>
        <w:t>Tiekėjo pasiūlymas;</w:t>
      </w:r>
    </w:p>
    <w:p w14:paraId="7DCE2650" w14:textId="023024A8" w:rsidR="00101EA0" w:rsidRPr="003D6913" w:rsidRDefault="005E51DC" w:rsidP="00101EA0">
      <w:pPr>
        <w:pStyle w:val="ListParagraph"/>
        <w:tabs>
          <w:tab w:val="left" w:pos="1134"/>
        </w:tabs>
        <w:spacing w:after="0" w:line="240" w:lineRule="auto"/>
        <w:ind w:left="1560" w:hanging="851"/>
        <w:jc w:val="both"/>
        <w:rPr>
          <w:rFonts w:asciiTheme="minorHAnsi" w:eastAsia="Arial Unicode MS" w:hAnsiTheme="minorHAnsi"/>
        </w:rPr>
      </w:pPr>
      <w:r>
        <w:rPr>
          <w:rFonts w:asciiTheme="minorHAnsi" w:hAnsiTheme="minorHAnsi"/>
        </w:rPr>
        <w:t>31.</w:t>
      </w:r>
      <w:r>
        <w:rPr>
          <w:rFonts w:asciiTheme="minorHAnsi" w:hAnsiTheme="minorHAnsi"/>
          <w:lang w:val="en-US"/>
        </w:rPr>
        <w:t>3</w:t>
      </w:r>
      <w:r w:rsidR="00824C69">
        <w:rPr>
          <w:rFonts w:asciiTheme="minorHAnsi" w:hAnsiTheme="minorHAnsi"/>
        </w:rPr>
        <w:t>.</w:t>
      </w:r>
      <w:r>
        <w:rPr>
          <w:rFonts w:asciiTheme="minorHAnsi" w:hAnsiTheme="minorHAnsi"/>
        </w:rPr>
        <w:t xml:space="preserve"> 3</w:t>
      </w:r>
      <w:r w:rsidR="00101EA0" w:rsidRPr="003D6913">
        <w:rPr>
          <w:rFonts w:asciiTheme="minorHAnsi" w:hAnsiTheme="minorHAnsi"/>
        </w:rPr>
        <w:t xml:space="preserve"> priedas</w:t>
      </w:r>
      <w:r>
        <w:rPr>
          <w:rFonts w:asciiTheme="minorHAnsi" w:hAnsiTheme="minorHAnsi"/>
        </w:rPr>
        <w:t>.</w:t>
      </w:r>
      <w:r w:rsidR="00101EA0" w:rsidRPr="003D6913">
        <w:rPr>
          <w:rFonts w:asciiTheme="minorHAnsi" w:hAnsiTheme="minorHAnsi"/>
        </w:rPr>
        <w:t xml:space="preserve"> Prekių perdavimo priėmimo akto forma.</w:t>
      </w:r>
    </w:p>
    <w:p w14:paraId="68A0B490" w14:textId="77777777" w:rsidR="00101EA0" w:rsidRDefault="00101EA0" w:rsidP="00424C97">
      <w:pPr>
        <w:widowControl w:val="0"/>
        <w:autoSpaceDE w:val="0"/>
        <w:autoSpaceDN w:val="0"/>
        <w:adjustRightInd w:val="0"/>
        <w:spacing w:after="0" w:line="240" w:lineRule="auto"/>
        <w:jc w:val="both"/>
        <w:rPr>
          <w:rFonts w:asciiTheme="minorHAnsi" w:hAnsiTheme="minorHAnsi"/>
        </w:rPr>
      </w:pPr>
    </w:p>
    <w:p w14:paraId="2312D18D"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23FDD0B0"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5B3BA7D5"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1AA2838D"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679D84A6"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20F6B8A3"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34160102"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4B31819E"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454666B6" w14:textId="77777777" w:rsidR="00412B41" w:rsidRDefault="00412B41" w:rsidP="00424C97">
      <w:pPr>
        <w:widowControl w:val="0"/>
        <w:autoSpaceDE w:val="0"/>
        <w:autoSpaceDN w:val="0"/>
        <w:adjustRightInd w:val="0"/>
        <w:spacing w:after="0" w:line="240" w:lineRule="auto"/>
        <w:jc w:val="both"/>
        <w:rPr>
          <w:rFonts w:asciiTheme="minorHAnsi" w:hAnsiTheme="minorHAnsi"/>
        </w:rPr>
      </w:pPr>
    </w:p>
    <w:p w14:paraId="38DF2591" w14:textId="77777777" w:rsidR="00412B41" w:rsidRPr="002E73BB" w:rsidRDefault="00412B41" w:rsidP="00424C97">
      <w:pPr>
        <w:widowControl w:val="0"/>
        <w:autoSpaceDE w:val="0"/>
        <w:autoSpaceDN w:val="0"/>
        <w:adjustRightInd w:val="0"/>
        <w:spacing w:after="0" w:line="240" w:lineRule="auto"/>
        <w:jc w:val="both"/>
        <w:rPr>
          <w:rFonts w:asciiTheme="minorHAnsi" w:hAnsiTheme="minorHAnsi"/>
        </w:rPr>
      </w:pPr>
    </w:p>
    <w:p w14:paraId="783BD419" w14:textId="77777777" w:rsidR="00101EA0" w:rsidRPr="002E73BB" w:rsidRDefault="00101EA0" w:rsidP="00101EA0">
      <w:pPr>
        <w:pStyle w:val="ListParagraph"/>
        <w:numPr>
          <w:ilvl w:val="0"/>
          <w:numId w:val="1"/>
        </w:numPr>
        <w:spacing w:after="0" w:line="240" w:lineRule="auto"/>
        <w:jc w:val="center"/>
        <w:rPr>
          <w:rFonts w:asciiTheme="minorHAnsi" w:hAnsiTheme="minorHAnsi"/>
          <w:b/>
          <w:bCs/>
        </w:rPr>
      </w:pPr>
      <w:r w:rsidRPr="002E73BB">
        <w:rPr>
          <w:rFonts w:asciiTheme="minorHAnsi" w:hAnsiTheme="minorHAnsi"/>
          <w:b/>
          <w:bCs/>
        </w:rPr>
        <w:t>ŠALIŲ JURIDINIAI ADRESAI IR PARAŠAI</w:t>
      </w:r>
    </w:p>
    <w:p w14:paraId="2A44B07B" w14:textId="77777777" w:rsidR="00101EA0" w:rsidRPr="002E73BB" w:rsidRDefault="00101EA0" w:rsidP="00101EA0">
      <w:pPr>
        <w:spacing w:after="0" w:line="240" w:lineRule="auto"/>
        <w:jc w:val="center"/>
        <w:rPr>
          <w:rFonts w:asciiTheme="minorHAnsi" w:hAnsiTheme="minorHAnsi"/>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1EA0" w:rsidRPr="002E73BB" w14:paraId="4A870C1B" w14:textId="77777777" w:rsidTr="00EE654A">
        <w:trPr>
          <w:trHeight w:val="3923"/>
        </w:trPr>
        <w:tc>
          <w:tcPr>
            <w:tcW w:w="2500" w:type="pct"/>
            <w:tcMar>
              <w:left w:w="0" w:type="dxa"/>
              <w:right w:w="0" w:type="dxa"/>
            </w:tcMar>
          </w:tcPr>
          <w:p w14:paraId="283319A7" w14:textId="77777777" w:rsidR="00101EA0" w:rsidRPr="002E73BB" w:rsidRDefault="00101EA0" w:rsidP="00BA4EFD">
            <w:pPr>
              <w:spacing w:after="0" w:line="240" w:lineRule="auto"/>
              <w:jc w:val="both"/>
              <w:rPr>
                <w:rFonts w:asciiTheme="minorHAnsi" w:hAnsiTheme="minorHAnsi"/>
                <w:b/>
                <w:bCs/>
              </w:rPr>
            </w:pPr>
            <w:r w:rsidRPr="002E73BB">
              <w:rPr>
                <w:rFonts w:asciiTheme="minorHAnsi" w:hAnsiTheme="minorHAnsi"/>
                <w:b/>
                <w:bCs/>
              </w:rPr>
              <w:t>Pirkėjas</w:t>
            </w:r>
          </w:p>
          <w:p w14:paraId="4B6BF3A2" w14:textId="77777777" w:rsidR="00101EA0" w:rsidRPr="002E73BB" w:rsidRDefault="00101EA0" w:rsidP="00BA4EFD">
            <w:pPr>
              <w:spacing w:after="0" w:line="240" w:lineRule="auto"/>
              <w:jc w:val="both"/>
              <w:rPr>
                <w:rFonts w:asciiTheme="minorHAnsi" w:hAnsiTheme="minorHAnsi"/>
                <w:b/>
                <w:bCs/>
              </w:rPr>
            </w:pPr>
          </w:p>
          <w:p w14:paraId="076E7123" w14:textId="77777777" w:rsidR="00101EA0" w:rsidRPr="002E73BB" w:rsidRDefault="00101EA0" w:rsidP="00BA4EFD">
            <w:pPr>
              <w:spacing w:after="0" w:line="240" w:lineRule="auto"/>
              <w:jc w:val="both"/>
              <w:rPr>
                <w:rFonts w:asciiTheme="minorHAnsi" w:hAnsiTheme="minorHAnsi"/>
                <w:b/>
                <w:bCs/>
              </w:rPr>
            </w:pPr>
            <w:r w:rsidRPr="002E73BB">
              <w:rPr>
                <w:rFonts w:asciiTheme="minorHAnsi" w:hAnsiTheme="minorHAnsi"/>
                <w:b/>
                <w:bCs/>
              </w:rPr>
              <w:t>Valstybės įmonė „Oro navigacija“</w:t>
            </w:r>
          </w:p>
          <w:p w14:paraId="32F6F2AE" w14:textId="77777777" w:rsidR="00101EA0" w:rsidRPr="002E73BB" w:rsidRDefault="00101EA0" w:rsidP="00BA4EFD">
            <w:pPr>
              <w:spacing w:after="0" w:line="240" w:lineRule="auto"/>
              <w:jc w:val="both"/>
              <w:rPr>
                <w:rFonts w:asciiTheme="minorHAnsi" w:hAnsiTheme="minorHAnsi"/>
                <w:bCs/>
              </w:rPr>
            </w:pPr>
            <w:r>
              <w:rPr>
                <w:rFonts w:asciiTheme="minorHAnsi" w:hAnsiTheme="minorHAnsi"/>
                <w:bCs/>
              </w:rPr>
              <w:t>Balio Karvelio 25, LT-02184</w:t>
            </w:r>
            <w:r w:rsidRPr="002E73BB">
              <w:rPr>
                <w:rFonts w:asciiTheme="minorHAnsi" w:hAnsiTheme="minorHAnsi"/>
                <w:bCs/>
              </w:rPr>
              <w:t>, Vilnius</w:t>
            </w:r>
          </w:p>
          <w:p w14:paraId="46C8C212" w14:textId="77777777" w:rsidR="00101EA0" w:rsidRPr="002E73BB" w:rsidRDefault="00101EA0" w:rsidP="00BA4EFD">
            <w:pPr>
              <w:spacing w:after="0" w:line="240" w:lineRule="auto"/>
              <w:jc w:val="both"/>
              <w:rPr>
                <w:rFonts w:asciiTheme="minorHAnsi" w:hAnsiTheme="minorHAnsi"/>
                <w:bCs/>
              </w:rPr>
            </w:pPr>
            <w:r w:rsidRPr="002E73BB">
              <w:rPr>
                <w:rFonts w:asciiTheme="minorHAnsi" w:hAnsiTheme="minorHAnsi"/>
                <w:bCs/>
              </w:rPr>
              <w:t>Įmonės kodas 210060460</w:t>
            </w:r>
          </w:p>
          <w:p w14:paraId="1ECA039C" w14:textId="77777777" w:rsidR="00101EA0" w:rsidRPr="002E73BB" w:rsidRDefault="00101EA0" w:rsidP="00BA4EFD">
            <w:pPr>
              <w:widowControl w:val="0"/>
              <w:tabs>
                <w:tab w:val="left" w:pos="4848"/>
              </w:tabs>
              <w:autoSpaceDE w:val="0"/>
              <w:autoSpaceDN w:val="0"/>
              <w:adjustRightInd w:val="0"/>
              <w:spacing w:after="0" w:line="240" w:lineRule="auto"/>
              <w:rPr>
                <w:rFonts w:asciiTheme="minorHAnsi" w:hAnsiTheme="minorHAnsi"/>
              </w:rPr>
            </w:pPr>
            <w:r w:rsidRPr="002E73BB">
              <w:rPr>
                <w:rFonts w:asciiTheme="minorHAnsi" w:hAnsiTheme="minorHAnsi"/>
              </w:rPr>
              <w:t xml:space="preserve">PVM mokėtojo kodas LT100604610 </w:t>
            </w:r>
          </w:p>
          <w:p w14:paraId="46F92DB2" w14:textId="77777777" w:rsidR="00101EA0" w:rsidRPr="002E73BB" w:rsidRDefault="00101EA0" w:rsidP="00BA4EFD">
            <w:pPr>
              <w:widowControl w:val="0"/>
              <w:tabs>
                <w:tab w:val="left" w:pos="4848"/>
              </w:tabs>
              <w:autoSpaceDE w:val="0"/>
              <w:autoSpaceDN w:val="0"/>
              <w:adjustRightInd w:val="0"/>
              <w:spacing w:after="0" w:line="240" w:lineRule="auto"/>
              <w:rPr>
                <w:rFonts w:asciiTheme="minorHAnsi" w:hAnsiTheme="minorHAnsi"/>
                <w:bCs/>
              </w:rPr>
            </w:pPr>
            <w:r w:rsidRPr="002E73BB">
              <w:rPr>
                <w:rFonts w:asciiTheme="minorHAnsi" w:hAnsiTheme="minorHAnsi"/>
              </w:rPr>
              <w:t>Tel. 8 706 94502</w:t>
            </w:r>
          </w:p>
          <w:p w14:paraId="605ADE14" w14:textId="77777777" w:rsidR="00101EA0" w:rsidRPr="002E73BB" w:rsidRDefault="00101EA0" w:rsidP="00BA4EFD">
            <w:pPr>
              <w:widowControl w:val="0"/>
              <w:tabs>
                <w:tab w:val="left" w:pos="4848"/>
              </w:tabs>
              <w:autoSpaceDE w:val="0"/>
              <w:autoSpaceDN w:val="0"/>
              <w:adjustRightInd w:val="0"/>
              <w:spacing w:after="0" w:line="240" w:lineRule="auto"/>
              <w:rPr>
                <w:rFonts w:asciiTheme="minorHAnsi" w:hAnsiTheme="minorHAnsi"/>
              </w:rPr>
            </w:pPr>
            <w:r w:rsidRPr="002E73BB">
              <w:rPr>
                <w:rFonts w:asciiTheme="minorHAnsi" w:hAnsiTheme="minorHAnsi"/>
                <w:bCs/>
              </w:rPr>
              <w:t xml:space="preserve">El. paštas: </w:t>
            </w:r>
            <w:hyperlink r:id="rId8" w:history="1">
              <w:r w:rsidRPr="002E73BB">
                <w:rPr>
                  <w:rStyle w:val="Hyperlink"/>
                  <w:rFonts w:asciiTheme="minorHAnsi" w:eastAsia="HG Mincho Light J" w:hAnsiTheme="minorHAnsi"/>
                  <w:bCs/>
                </w:rPr>
                <w:t>info@ans.lt</w:t>
              </w:r>
            </w:hyperlink>
          </w:p>
          <w:p w14:paraId="19068BFF" w14:textId="77777777" w:rsidR="00101EA0" w:rsidRPr="002E73BB" w:rsidRDefault="00101EA0" w:rsidP="00BA4EFD">
            <w:pPr>
              <w:widowControl w:val="0"/>
              <w:tabs>
                <w:tab w:val="left" w:pos="4848"/>
              </w:tabs>
              <w:autoSpaceDE w:val="0"/>
              <w:autoSpaceDN w:val="0"/>
              <w:adjustRightInd w:val="0"/>
              <w:spacing w:after="0" w:line="240" w:lineRule="auto"/>
              <w:rPr>
                <w:rFonts w:asciiTheme="minorHAnsi" w:hAnsiTheme="minorHAnsi"/>
              </w:rPr>
            </w:pPr>
            <w:r w:rsidRPr="002E73BB">
              <w:rPr>
                <w:rFonts w:asciiTheme="minorHAnsi" w:hAnsiTheme="minorHAnsi"/>
              </w:rPr>
              <w:t xml:space="preserve">A.s.  LT037044060001166081 </w:t>
            </w:r>
          </w:p>
          <w:p w14:paraId="2B356A3D" w14:textId="77777777" w:rsidR="00101EA0" w:rsidRPr="002E73BB" w:rsidRDefault="00101EA0" w:rsidP="00BA4EFD">
            <w:pPr>
              <w:spacing w:after="0" w:line="240" w:lineRule="auto"/>
              <w:jc w:val="both"/>
              <w:rPr>
                <w:rFonts w:asciiTheme="minorHAnsi" w:hAnsiTheme="minorHAnsi"/>
              </w:rPr>
            </w:pPr>
            <w:r w:rsidRPr="002E73BB">
              <w:rPr>
                <w:rFonts w:asciiTheme="minorHAnsi" w:hAnsiTheme="minorHAnsi"/>
              </w:rPr>
              <w:t>AB SEB bankas</w:t>
            </w:r>
          </w:p>
          <w:p w14:paraId="2521B201" w14:textId="77777777" w:rsidR="00101EA0" w:rsidRPr="002E73BB" w:rsidRDefault="00101EA0" w:rsidP="00BA4EFD">
            <w:pPr>
              <w:spacing w:after="0" w:line="240" w:lineRule="auto"/>
              <w:jc w:val="both"/>
              <w:rPr>
                <w:rFonts w:asciiTheme="minorHAnsi" w:hAnsiTheme="minorHAnsi"/>
                <w:bCs/>
              </w:rPr>
            </w:pPr>
          </w:p>
          <w:p w14:paraId="18B6A436" w14:textId="77777777" w:rsidR="00101EA0" w:rsidRPr="00EE654A" w:rsidRDefault="00101EA0" w:rsidP="00BA4EFD">
            <w:pPr>
              <w:spacing w:after="0" w:line="240" w:lineRule="auto"/>
              <w:jc w:val="both"/>
              <w:rPr>
                <w:rFonts w:asciiTheme="minorHAnsi" w:hAnsiTheme="minorHAnsi"/>
                <w:bCs/>
              </w:rPr>
            </w:pPr>
            <w:r w:rsidRPr="00EE654A">
              <w:rPr>
                <w:rFonts w:asciiTheme="minorHAnsi" w:hAnsiTheme="minorHAnsi"/>
                <w:bCs/>
              </w:rPr>
              <w:t>Generalinis direktorius</w:t>
            </w:r>
          </w:p>
          <w:p w14:paraId="26D8CEA2" w14:textId="06FB8C3F" w:rsidR="00DD0A9E" w:rsidRPr="002E73BB" w:rsidRDefault="00101EA0" w:rsidP="00BA4EFD">
            <w:pPr>
              <w:spacing w:after="0" w:line="240" w:lineRule="auto"/>
              <w:rPr>
                <w:rFonts w:asciiTheme="minorHAnsi" w:hAnsiTheme="minorHAnsi"/>
                <w:bCs/>
              </w:rPr>
            </w:pPr>
            <w:r w:rsidRPr="00EE654A">
              <w:rPr>
                <w:rFonts w:asciiTheme="minorHAnsi" w:hAnsiTheme="minorHAnsi"/>
                <w:bCs/>
              </w:rPr>
              <w:t xml:space="preserve">Mindaugas </w:t>
            </w:r>
            <w:r w:rsidRPr="002E73BB">
              <w:rPr>
                <w:rFonts w:asciiTheme="minorHAnsi" w:hAnsiTheme="minorHAnsi"/>
                <w:bCs/>
              </w:rPr>
              <w:t>Gustys</w:t>
            </w:r>
          </w:p>
        </w:tc>
        <w:tc>
          <w:tcPr>
            <w:tcW w:w="2500" w:type="pct"/>
            <w:tcMar>
              <w:left w:w="0" w:type="dxa"/>
              <w:right w:w="0" w:type="dxa"/>
            </w:tcMar>
          </w:tcPr>
          <w:p w14:paraId="667BDB1D" w14:textId="77777777" w:rsidR="00101EA0" w:rsidRPr="002E73BB" w:rsidRDefault="00101EA0" w:rsidP="00BA4EFD">
            <w:pPr>
              <w:spacing w:after="0" w:line="240" w:lineRule="auto"/>
              <w:jc w:val="both"/>
              <w:rPr>
                <w:rFonts w:asciiTheme="minorHAnsi" w:hAnsiTheme="minorHAnsi"/>
                <w:b/>
                <w:bCs/>
              </w:rPr>
            </w:pPr>
            <w:r w:rsidRPr="002E73BB">
              <w:rPr>
                <w:rFonts w:asciiTheme="minorHAnsi" w:hAnsiTheme="minorHAnsi"/>
                <w:b/>
                <w:bCs/>
              </w:rPr>
              <w:t>Tiekėjas</w:t>
            </w:r>
          </w:p>
          <w:p w14:paraId="3891E591" w14:textId="77777777" w:rsidR="00101EA0" w:rsidRPr="002E73BB" w:rsidRDefault="00101EA0" w:rsidP="00BA4EFD">
            <w:pPr>
              <w:spacing w:after="0" w:line="240" w:lineRule="auto"/>
              <w:jc w:val="both"/>
              <w:rPr>
                <w:rFonts w:asciiTheme="minorHAnsi" w:hAnsiTheme="minorHAnsi"/>
                <w:b/>
                <w:bCs/>
              </w:rPr>
            </w:pPr>
          </w:p>
          <w:p w14:paraId="5020B315" w14:textId="7C40B49A" w:rsidR="00101EA0" w:rsidRPr="00412B41" w:rsidRDefault="00566140" w:rsidP="00DD0A9E">
            <w:pPr>
              <w:spacing w:after="0" w:line="240" w:lineRule="auto"/>
              <w:jc w:val="both"/>
              <w:rPr>
                <w:rFonts w:asciiTheme="minorHAnsi" w:hAnsiTheme="minorHAnsi"/>
                <w:b/>
                <w:bCs/>
              </w:rPr>
            </w:pPr>
            <w:r w:rsidRPr="00412B41">
              <w:rPr>
                <w:rFonts w:asciiTheme="minorHAnsi" w:hAnsiTheme="minorHAnsi"/>
                <w:b/>
                <w:bCs/>
              </w:rPr>
              <w:t>UAB „Eden Springs Lietuva</w:t>
            </w:r>
            <w:r w:rsidR="00101EA0" w:rsidRPr="00412B41">
              <w:rPr>
                <w:rFonts w:asciiTheme="minorHAnsi" w:hAnsiTheme="minorHAnsi"/>
                <w:b/>
                <w:bCs/>
              </w:rPr>
              <w:t>“</w:t>
            </w:r>
          </w:p>
          <w:p w14:paraId="62A72EFD" w14:textId="15FA2F7C" w:rsidR="00101EA0" w:rsidRPr="00412B41" w:rsidRDefault="00412B41" w:rsidP="00DD0A9E">
            <w:pPr>
              <w:spacing w:after="0" w:line="240" w:lineRule="auto"/>
              <w:jc w:val="both"/>
              <w:rPr>
                <w:rFonts w:asciiTheme="minorHAnsi" w:hAnsiTheme="minorHAnsi"/>
                <w:bCs/>
              </w:rPr>
            </w:pPr>
            <w:r w:rsidRPr="00412B41">
              <w:rPr>
                <w:rFonts w:asciiTheme="minorHAnsi" w:hAnsiTheme="minorHAnsi"/>
                <w:bCs/>
              </w:rPr>
              <w:t>Savanorių pr. 174A, LT-03153 Vilnius</w:t>
            </w:r>
          </w:p>
          <w:p w14:paraId="47532E73" w14:textId="39FC72AD" w:rsidR="00566140" w:rsidRPr="00412B41" w:rsidRDefault="00412B41" w:rsidP="00DD0A9E">
            <w:pPr>
              <w:spacing w:after="0" w:line="240" w:lineRule="auto"/>
              <w:jc w:val="both"/>
              <w:rPr>
                <w:rFonts w:asciiTheme="minorHAnsi" w:hAnsiTheme="minorHAnsi"/>
                <w:bCs/>
              </w:rPr>
            </w:pPr>
            <w:r w:rsidRPr="00412B41">
              <w:rPr>
                <w:rFonts w:asciiTheme="minorHAnsi" w:hAnsiTheme="minorHAnsi"/>
                <w:bCs/>
              </w:rPr>
              <w:t>Įmonės kodas 211638230</w:t>
            </w:r>
          </w:p>
          <w:p w14:paraId="1296E237" w14:textId="24C82D64" w:rsidR="00566140" w:rsidRPr="00412B41" w:rsidRDefault="00412B41" w:rsidP="00DD0A9E">
            <w:pPr>
              <w:spacing w:after="0" w:line="240" w:lineRule="auto"/>
              <w:jc w:val="both"/>
              <w:rPr>
                <w:rFonts w:asciiTheme="minorHAnsi" w:hAnsiTheme="minorHAnsi"/>
                <w:bCs/>
              </w:rPr>
            </w:pPr>
            <w:r w:rsidRPr="00412B41">
              <w:rPr>
                <w:rFonts w:asciiTheme="minorHAnsi" w:hAnsiTheme="minorHAnsi"/>
                <w:bCs/>
              </w:rPr>
              <w:t>PVM mokėtojo kodas LT116382314</w:t>
            </w:r>
          </w:p>
          <w:p w14:paraId="61BD4562" w14:textId="2E82274D" w:rsidR="00566140" w:rsidRPr="00412B41" w:rsidRDefault="00412B41" w:rsidP="00DD0A9E">
            <w:pPr>
              <w:spacing w:after="0" w:line="240" w:lineRule="auto"/>
              <w:jc w:val="both"/>
              <w:rPr>
                <w:rFonts w:asciiTheme="minorHAnsi" w:hAnsiTheme="minorHAnsi"/>
                <w:bCs/>
              </w:rPr>
            </w:pPr>
            <w:r>
              <w:rPr>
                <w:rFonts w:asciiTheme="minorHAnsi" w:hAnsiTheme="minorHAnsi"/>
                <w:bCs/>
              </w:rPr>
              <w:t>Tel. 8 800 20006</w:t>
            </w:r>
          </w:p>
          <w:p w14:paraId="38FB3AD9" w14:textId="7B483690" w:rsidR="00566140" w:rsidRDefault="00412B41" w:rsidP="00DD0A9E">
            <w:pPr>
              <w:spacing w:after="0" w:line="240" w:lineRule="auto"/>
              <w:jc w:val="both"/>
              <w:rPr>
                <w:rFonts w:asciiTheme="minorHAnsi" w:hAnsiTheme="minorHAnsi"/>
                <w:bCs/>
                <w:lang w:val="en-US"/>
              </w:rPr>
            </w:pPr>
            <w:r>
              <w:rPr>
                <w:rFonts w:asciiTheme="minorHAnsi" w:hAnsiTheme="minorHAnsi"/>
                <w:bCs/>
              </w:rPr>
              <w:t xml:space="preserve">El. p. </w:t>
            </w:r>
            <w:hyperlink r:id="rId9" w:history="1">
              <w:r w:rsidRPr="003E771D">
                <w:rPr>
                  <w:rStyle w:val="Hyperlink"/>
                  <w:rFonts w:asciiTheme="minorHAnsi" w:hAnsiTheme="minorHAnsi"/>
                  <w:bCs/>
                </w:rPr>
                <w:t>info</w:t>
              </w:r>
              <w:r w:rsidRPr="003E771D">
                <w:rPr>
                  <w:rStyle w:val="Hyperlink"/>
                  <w:rFonts w:asciiTheme="minorHAnsi" w:hAnsiTheme="minorHAnsi"/>
                  <w:bCs/>
                  <w:lang w:val="en-US"/>
                </w:rPr>
                <w:t>@lt.edensprings.com</w:t>
              </w:r>
            </w:hyperlink>
          </w:p>
          <w:p w14:paraId="01E4B57F" w14:textId="3570E340" w:rsidR="00412B41" w:rsidRPr="00412B41" w:rsidRDefault="00412B41" w:rsidP="00DD0A9E">
            <w:pPr>
              <w:spacing w:after="0" w:line="240" w:lineRule="auto"/>
              <w:jc w:val="both"/>
              <w:rPr>
                <w:rFonts w:asciiTheme="minorHAnsi" w:hAnsiTheme="minorHAnsi"/>
                <w:bCs/>
                <w:lang w:val="en-US"/>
              </w:rPr>
            </w:pPr>
            <w:r>
              <w:rPr>
                <w:rFonts w:asciiTheme="minorHAnsi" w:hAnsiTheme="minorHAnsi"/>
                <w:bCs/>
                <w:lang w:val="en-US"/>
              </w:rPr>
              <w:t>A.s. LT087300010076219796</w:t>
            </w:r>
          </w:p>
          <w:p w14:paraId="7147D985" w14:textId="46CAE7A4" w:rsidR="00566140" w:rsidRPr="00412B41" w:rsidRDefault="00412B41" w:rsidP="00DD0A9E">
            <w:pPr>
              <w:spacing w:after="0" w:line="240" w:lineRule="auto"/>
              <w:jc w:val="both"/>
              <w:rPr>
                <w:rFonts w:asciiTheme="minorHAnsi" w:hAnsiTheme="minorHAnsi"/>
                <w:bCs/>
              </w:rPr>
            </w:pPr>
            <w:r>
              <w:rPr>
                <w:rFonts w:asciiTheme="minorHAnsi" w:hAnsiTheme="minorHAnsi"/>
                <w:bCs/>
              </w:rPr>
              <w:t>AB Swedbank</w:t>
            </w:r>
          </w:p>
          <w:p w14:paraId="3564B018" w14:textId="65EDAE5E" w:rsidR="00566140" w:rsidRPr="00412B41" w:rsidRDefault="00566140" w:rsidP="00DD0A9E">
            <w:pPr>
              <w:spacing w:after="0" w:line="240" w:lineRule="auto"/>
              <w:jc w:val="both"/>
              <w:rPr>
                <w:rFonts w:asciiTheme="minorHAnsi" w:hAnsiTheme="minorHAnsi"/>
                <w:bCs/>
              </w:rPr>
            </w:pPr>
          </w:p>
          <w:p w14:paraId="5127D775" w14:textId="1DFADE22" w:rsidR="00DD0A9E" w:rsidRPr="00DD0A9E" w:rsidRDefault="00412B41" w:rsidP="00DD0A9E">
            <w:pPr>
              <w:spacing w:after="0" w:line="240" w:lineRule="auto"/>
              <w:jc w:val="both"/>
              <w:rPr>
                <w:rFonts w:asciiTheme="minorHAnsi" w:hAnsiTheme="minorHAnsi"/>
                <w:bCs/>
              </w:rPr>
            </w:pPr>
            <w:r>
              <w:rPr>
                <w:rFonts w:asciiTheme="minorHAnsi" w:hAnsiTheme="minorHAnsi"/>
                <w:bCs/>
              </w:rPr>
              <w:t>Vykdantysis d</w:t>
            </w:r>
            <w:r w:rsidR="00566140" w:rsidRPr="00412B41">
              <w:rPr>
                <w:rFonts w:asciiTheme="minorHAnsi" w:hAnsiTheme="minorHAnsi"/>
                <w:bCs/>
              </w:rPr>
              <w:t>irektorius</w:t>
            </w:r>
          </w:p>
          <w:p w14:paraId="3D85A13A" w14:textId="71254CCD" w:rsidR="00DD0A9E" w:rsidRPr="002E73BB" w:rsidRDefault="00412B41" w:rsidP="00DD0A9E">
            <w:pPr>
              <w:spacing w:after="0" w:line="240" w:lineRule="auto"/>
              <w:jc w:val="both"/>
              <w:rPr>
                <w:rFonts w:asciiTheme="minorHAnsi" w:hAnsiTheme="minorHAnsi"/>
                <w:bCs/>
              </w:rPr>
            </w:pPr>
            <w:r>
              <w:rPr>
                <w:rFonts w:asciiTheme="minorHAnsi" w:hAnsiTheme="minorHAnsi"/>
                <w:bCs/>
              </w:rPr>
              <w:t>Žilvinas Biekša</w:t>
            </w:r>
          </w:p>
        </w:tc>
      </w:tr>
    </w:tbl>
    <w:p w14:paraId="39E84013" w14:textId="3E1378A4" w:rsidR="00691670" w:rsidRDefault="00691670"/>
    <w:sectPr w:rsidR="00691670" w:rsidSect="005D3C93">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B8293" w14:textId="77777777" w:rsidR="00BE299C" w:rsidRDefault="00BE299C" w:rsidP="00EC47C8">
      <w:pPr>
        <w:spacing w:after="0" w:line="240" w:lineRule="auto"/>
      </w:pPr>
      <w:r>
        <w:separator/>
      </w:r>
    </w:p>
  </w:endnote>
  <w:endnote w:type="continuationSeparator" w:id="0">
    <w:p w14:paraId="27F788CC" w14:textId="77777777" w:rsidR="00BE299C" w:rsidRDefault="00BE299C" w:rsidP="00EC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A7D7" w14:textId="77777777" w:rsidR="00BE299C" w:rsidRDefault="00BE299C" w:rsidP="00EC47C8">
      <w:pPr>
        <w:spacing w:after="0" w:line="240" w:lineRule="auto"/>
      </w:pPr>
      <w:r>
        <w:separator/>
      </w:r>
    </w:p>
  </w:footnote>
  <w:footnote w:type="continuationSeparator" w:id="0">
    <w:p w14:paraId="2530C90D" w14:textId="77777777" w:rsidR="00BE299C" w:rsidRDefault="00BE299C" w:rsidP="00EC4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044886"/>
      <w:docPartObj>
        <w:docPartGallery w:val="Page Numbers (Top of Page)"/>
        <w:docPartUnique/>
      </w:docPartObj>
    </w:sdtPr>
    <w:sdtEndPr>
      <w:rPr>
        <w:noProof/>
      </w:rPr>
    </w:sdtEndPr>
    <w:sdtContent>
      <w:p w14:paraId="5F6B15FE" w14:textId="67FD9AAB" w:rsidR="00EC47C8" w:rsidRDefault="00EC47C8">
        <w:pPr>
          <w:pStyle w:val="Header"/>
          <w:jc w:val="center"/>
        </w:pPr>
        <w:r>
          <w:fldChar w:fldCharType="begin"/>
        </w:r>
        <w:r>
          <w:instrText xml:space="preserve"> PAGE   \* MERGEFORMAT </w:instrText>
        </w:r>
        <w:r>
          <w:fldChar w:fldCharType="separate"/>
        </w:r>
        <w:r w:rsidR="008325EA">
          <w:rPr>
            <w:noProof/>
          </w:rPr>
          <w:t>2</w:t>
        </w:r>
        <w:r>
          <w:rPr>
            <w:noProof/>
          </w:rPr>
          <w:fldChar w:fldCharType="end"/>
        </w:r>
      </w:p>
    </w:sdtContent>
  </w:sdt>
  <w:p w14:paraId="5FCB8429" w14:textId="77777777" w:rsidR="00EC47C8" w:rsidRDefault="00EC4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11E0"/>
    <w:multiLevelType w:val="hybridMultilevel"/>
    <w:tmpl w:val="1368D6EC"/>
    <w:lvl w:ilvl="0" w:tplc="6BF07118">
      <w:start w:val="1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A85EF1"/>
    <w:multiLevelType w:val="hybridMultilevel"/>
    <w:tmpl w:val="78FE2F2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175AAA"/>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C12230"/>
    <w:multiLevelType w:val="multilevel"/>
    <w:tmpl w:val="D9FC4D0C"/>
    <w:lvl w:ilvl="0">
      <w:start w:val="1"/>
      <w:numFmt w:val="upperRoman"/>
      <w:suff w:val="space"/>
      <w:lvlText w:val="%1."/>
      <w:lvlJc w:val="left"/>
      <w:pPr>
        <w:ind w:left="0" w:firstLine="0"/>
      </w:pPr>
      <w:rPr>
        <w:rFonts w:asciiTheme="minorHAnsi" w:eastAsia="Times New Roman" w:hAnsiTheme="minorHAnsi" w:cs="Times New Roman" w:hint="default"/>
        <w:b/>
      </w:rPr>
    </w:lvl>
    <w:lvl w:ilvl="1">
      <w:start w:val="1"/>
      <w:numFmt w:val="decimal"/>
      <w:lvlText w:val="%1.%2."/>
      <w:lvlJc w:val="left"/>
      <w:pPr>
        <w:tabs>
          <w:tab w:val="num" w:pos="792"/>
        </w:tabs>
        <w:ind w:left="0" w:firstLine="0"/>
      </w:pPr>
      <w:rPr>
        <w:rFonts w:hint="default"/>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num w:numId="1">
    <w:abstractNumId w:val="4"/>
  </w:num>
  <w:num w:numId="2">
    <w:abstractNumId w:val="2"/>
  </w:num>
  <w:num w:numId="3">
    <w:abstractNumId w:val="2"/>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A0"/>
    <w:rsid w:val="00017340"/>
    <w:rsid w:val="00041251"/>
    <w:rsid w:val="00062E50"/>
    <w:rsid w:val="00074C39"/>
    <w:rsid w:val="00101EA0"/>
    <w:rsid w:val="00177CB1"/>
    <w:rsid w:val="00270A23"/>
    <w:rsid w:val="002A3238"/>
    <w:rsid w:val="002E021E"/>
    <w:rsid w:val="00303ECA"/>
    <w:rsid w:val="00311535"/>
    <w:rsid w:val="0031766C"/>
    <w:rsid w:val="00333B64"/>
    <w:rsid w:val="003741FB"/>
    <w:rsid w:val="003A1816"/>
    <w:rsid w:val="00412B41"/>
    <w:rsid w:val="00424C97"/>
    <w:rsid w:val="00425670"/>
    <w:rsid w:val="004C13BC"/>
    <w:rsid w:val="0054794D"/>
    <w:rsid w:val="00566140"/>
    <w:rsid w:val="005D3C93"/>
    <w:rsid w:val="005E51DC"/>
    <w:rsid w:val="00617AE4"/>
    <w:rsid w:val="00670C01"/>
    <w:rsid w:val="006752D6"/>
    <w:rsid w:val="00691670"/>
    <w:rsid w:val="00703FCC"/>
    <w:rsid w:val="0075434F"/>
    <w:rsid w:val="00754532"/>
    <w:rsid w:val="007E203C"/>
    <w:rsid w:val="0081230A"/>
    <w:rsid w:val="00824C69"/>
    <w:rsid w:val="008325EA"/>
    <w:rsid w:val="008674EC"/>
    <w:rsid w:val="00873C1D"/>
    <w:rsid w:val="008C6843"/>
    <w:rsid w:val="00964BA1"/>
    <w:rsid w:val="00975125"/>
    <w:rsid w:val="009B59CB"/>
    <w:rsid w:val="009E66A8"/>
    <w:rsid w:val="00B75438"/>
    <w:rsid w:val="00B856D5"/>
    <w:rsid w:val="00BD6C14"/>
    <w:rsid w:val="00BE299C"/>
    <w:rsid w:val="00C66295"/>
    <w:rsid w:val="00CB1FD2"/>
    <w:rsid w:val="00CC25FF"/>
    <w:rsid w:val="00CD5B51"/>
    <w:rsid w:val="00DD0A9E"/>
    <w:rsid w:val="00E87DAF"/>
    <w:rsid w:val="00EC47C8"/>
    <w:rsid w:val="00EC7349"/>
    <w:rsid w:val="00EE654A"/>
    <w:rsid w:val="00F3190A"/>
    <w:rsid w:val="00F55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6FA7"/>
  <w15:docId w15:val="{4ABC60D2-8398-4160-A324-F9A4721F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EA0"/>
    <w:pPr>
      <w:spacing w:after="200" w:line="276" w:lineRule="auto"/>
    </w:pPr>
    <w:rPr>
      <w:rFonts w:ascii="Calibri" w:eastAsia="Times New Roman"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1EA0"/>
    <w:rPr>
      <w:color w:val="0563C1"/>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Lentele,Bullet 1"/>
    <w:basedOn w:val="Normal"/>
    <w:link w:val="ListParagraphChar"/>
    <w:uiPriority w:val="34"/>
    <w:qFormat/>
    <w:rsid w:val="00101EA0"/>
    <w:pPr>
      <w:ind w:left="1296"/>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1EA0"/>
    <w:rPr>
      <w:rFonts w:ascii="Calibri" w:eastAsia="Times New Roman" w:hAnsi="Calibri" w:cs="Times New Roman"/>
      <w:lang w:eastAsia="lt-LT"/>
    </w:rPr>
  </w:style>
  <w:style w:type="table" w:styleId="TableGrid">
    <w:name w:val="Table Grid"/>
    <w:basedOn w:val="TableNormal"/>
    <w:uiPriority w:val="99"/>
    <w:rsid w:val="00101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670"/>
    <w:rPr>
      <w:sz w:val="16"/>
      <w:szCs w:val="16"/>
    </w:rPr>
  </w:style>
  <w:style w:type="paragraph" w:styleId="CommentText">
    <w:name w:val="annotation text"/>
    <w:basedOn w:val="Normal"/>
    <w:link w:val="CommentTextChar"/>
    <w:uiPriority w:val="99"/>
    <w:semiHidden/>
    <w:unhideWhenUsed/>
    <w:rsid w:val="00425670"/>
    <w:pPr>
      <w:spacing w:line="240" w:lineRule="auto"/>
    </w:pPr>
    <w:rPr>
      <w:sz w:val="20"/>
      <w:szCs w:val="20"/>
    </w:rPr>
  </w:style>
  <w:style w:type="character" w:customStyle="1" w:styleId="CommentTextChar">
    <w:name w:val="Comment Text Char"/>
    <w:basedOn w:val="DefaultParagraphFont"/>
    <w:link w:val="CommentText"/>
    <w:uiPriority w:val="99"/>
    <w:semiHidden/>
    <w:rsid w:val="00425670"/>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25670"/>
    <w:rPr>
      <w:b/>
      <w:bCs/>
    </w:rPr>
  </w:style>
  <w:style w:type="character" w:customStyle="1" w:styleId="CommentSubjectChar">
    <w:name w:val="Comment Subject Char"/>
    <w:basedOn w:val="CommentTextChar"/>
    <w:link w:val="CommentSubject"/>
    <w:uiPriority w:val="99"/>
    <w:semiHidden/>
    <w:rsid w:val="00425670"/>
    <w:rPr>
      <w:rFonts w:ascii="Calibri" w:eastAsia="Times New Roman" w:hAnsi="Calibri" w:cs="Times New Roman"/>
      <w:b/>
      <w:bCs/>
      <w:sz w:val="20"/>
      <w:szCs w:val="20"/>
      <w:lang w:eastAsia="lt-LT"/>
    </w:rPr>
  </w:style>
  <w:style w:type="paragraph" w:styleId="BalloonText">
    <w:name w:val="Balloon Text"/>
    <w:basedOn w:val="Normal"/>
    <w:link w:val="BalloonTextChar"/>
    <w:uiPriority w:val="99"/>
    <w:semiHidden/>
    <w:unhideWhenUsed/>
    <w:rsid w:val="00425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7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EC47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47C8"/>
    <w:rPr>
      <w:rFonts w:ascii="Calibri" w:eastAsia="Times New Roman" w:hAnsi="Calibri" w:cs="Times New Roman"/>
      <w:lang w:eastAsia="lt-LT"/>
    </w:rPr>
  </w:style>
  <w:style w:type="paragraph" w:styleId="Footer">
    <w:name w:val="footer"/>
    <w:basedOn w:val="Normal"/>
    <w:link w:val="FooterChar"/>
    <w:uiPriority w:val="99"/>
    <w:unhideWhenUsed/>
    <w:rsid w:val="00EC47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47C8"/>
    <w:rPr>
      <w:rFonts w:ascii="Calibri" w:eastAsia="Times New Roman"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lt.edenspr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6376</Words>
  <Characters>3635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Lidija Leus-Venzlauskiene</cp:lastModifiedBy>
  <cp:revision>9</cp:revision>
  <dcterms:created xsi:type="dcterms:W3CDTF">2019-12-10T05:15:00Z</dcterms:created>
  <dcterms:modified xsi:type="dcterms:W3CDTF">2019-12-19T12:50:00Z</dcterms:modified>
</cp:coreProperties>
</file>