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5F74" w14:textId="19212686" w:rsidR="00B13F68" w:rsidRPr="00B13F68" w:rsidRDefault="0090499F" w:rsidP="007915ED">
      <w:pPr>
        <w:spacing w:after="0" w:line="240" w:lineRule="auto"/>
        <w:ind w:left="5580"/>
        <w:contextualSpacing/>
        <w:rPr>
          <w:rFonts w:eastAsia="Times New Roman" w:cs="Times New Roman"/>
          <w:szCs w:val="24"/>
        </w:rPr>
      </w:pPr>
      <w:r>
        <w:rPr>
          <w:rFonts w:eastAsia="Times New Roman" w:cs="Times New Roman"/>
          <w:szCs w:val="24"/>
        </w:rPr>
        <w:t>20</w:t>
      </w:r>
      <w:r w:rsidR="00DD6BFE">
        <w:rPr>
          <w:rFonts w:eastAsia="Times New Roman" w:cs="Times New Roman"/>
          <w:szCs w:val="24"/>
        </w:rPr>
        <w:t>25</w:t>
      </w:r>
      <w:r w:rsidR="00B13F68" w:rsidRPr="00B13F68">
        <w:rPr>
          <w:rFonts w:eastAsia="Times New Roman" w:cs="Times New Roman"/>
          <w:szCs w:val="24"/>
        </w:rPr>
        <w:t xml:space="preserve"> m.                              d.</w:t>
      </w:r>
    </w:p>
    <w:p w14:paraId="73DD5C35" w14:textId="27CFB03B" w:rsidR="00B13F68" w:rsidRPr="00B13F68" w:rsidRDefault="00B13F68" w:rsidP="007915ED">
      <w:pPr>
        <w:spacing w:after="0" w:line="240" w:lineRule="auto"/>
        <w:ind w:left="5580"/>
        <w:contextualSpacing/>
        <w:rPr>
          <w:rFonts w:eastAsia="Times New Roman" w:cs="Times New Roman"/>
          <w:bCs/>
          <w:szCs w:val="24"/>
        </w:rPr>
      </w:pPr>
      <w:r w:rsidRPr="00B13F68">
        <w:rPr>
          <w:rFonts w:eastAsia="Times New Roman" w:cs="Times New Roman"/>
          <w:szCs w:val="24"/>
        </w:rPr>
        <w:t xml:space="preserve">Paslaugų pirkimo-pardavimo                                                                                 </w:t>
      </w:r>
      <w:r w:rsidRPr="00B13F68">
        <w:rPr>
          <w:rFonts w:eastAsia="Times New Roman" w:cs="Times New Roman"/>
          <w:bCs/>
          <w:szCs w:val="24"/>
        </w:rPr>
        <w:t xml:space="preserve">sutarties Nr. </w:t>
      </w:r>
    </w:p>
    <w:p w14:paraId="0E2764A7" w14:textId="113CEC3C" w:rsidR="00B13F68" w:rsidRPr="00B13F68" w:rsidRDefault="00D71D81" w:rsidP="007915ED">
      <w:pPr>
        <w:spacing w:after="0" w:line="240" w:lineRule="auto"/>
        <w:ind w:left="5580"/>
        <w:rPr>
          <w:rFonts w:eastAsia="Times New Roman" w:cs="Times New Roman"/>
          <w:szCs w:val="24"/>
        </w:rPr>
      </w:pPr>
      <w:r w:rsidRPr="00B13F68">
        <w:rPr>
          <w:rFonts w:eastAsia="Times New Roman" w:cs="Times New Roman"/>
          <w:szCs w:val="24"/>
        </w:rPr>
        <w:t>P</w:t>
      </w:r>
      <w:r w:rsidR="00B13F68" w:rsidRPr="00B13F68">
        <w:rPr>
          <w:rFonts w:eastAsia="Times New Roman" w:cs="Times New Roman"/>
          <w:szCs w:val="24"/>
        </w:rPr>
        <w:t>riedas</w:t>
      </w:r>
      <w:r>
        <w:rPr>
          <w:rFonts w:eastAsia="Times New Roman" w:cs="Times New Roman"/>
          <w:szCs w:val="24"/>
        </w:rPr>
        <w:t xml:space="preserve"> Nr. 1</w:t>
      </w:r>
    </w:p>
    <w:p w14:paraId="2D2E3E44" w14:textId="6071E41C" w:rsidR="00B13F68" w:rsidRPr="00181405" w:rsidRDefault="00B13F68" w:rsidP="00B13F68">
      <w:pPr>
        <w:spacing w:after="0" w:line="240" w:lineRule="auto"/>
        <w:ind w:left="1296" w:firstLine="4224"/>
        <w:contextualSpacing/>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181405">
        <w:rPr>
          <w:rFonts w:eastAsia="Times New Roman" w:cs="Times New Roman"/>
          <w:szCs w:val="24"/>
        </w:rPr>
        <w:tab/>
      </w:r>
      <w:r w:rsidRPr="00181405">
        <w:rPr>
          <w:rFonts w:eastAsia="Times New Roman" w:cs="Times New Roman"/>
          <w:szCs w:val="24"/>
        </w:rPr>
        <w:tab/>
      </w:r>
      <w:r w:rsidRPr="00181405">
        <w:rPr>
          <w:rFonts w:eastAsia="Times New Roman" w:cs="Times New Roman"/>
          <w:szCs w:val="24"/>
        </w:rPr>
        <w:tab/>
        <w:t xml:space="preserve">      </w:t>
      </w:r>
    </w:p>
    <w:p w14:paraId="51950CC0" w14:textId="3C2645CB" w:rsidR="001F4A03" w:rsidRDefault="00B13F68" w:rsidP="0090499F">
      <w:pPr>
        <w:tabs>
          <w:tab w:val="left" w:pos="0"/>
          <w:tab w:val="center" w:pos="3544"/>
          <w:tab w:val="right" w:pos="8640"/>
        </w:tabs>
        <w:spacing w:after="0" w:line="240" w:lineRule="auto"/>
        <w:jc w:val="center"/>
        <w:rPr>
          <w:rFonts w:eastAsia="Calibri" w:cs="Times New Roman"/>
          <w:b/>
          <w:szCs w:val="24"/>
        </w:rPr>
      </w:pPr>
      <w:r w:rsidRPr="00181405">
        <w:rPr>
          <w:rFonts w:eastAsia="Calibri" w:cs="Times New Roman"/>
          <w:b/>
          <w:szCs w:val="24"/>
        </w:rPr>
        <w:t>TECHNINĖ SPECIFIKACIJA</w:t>
      </w: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p w14:paraId="3C14D0C7" w14:textId="77777777" w:rsidR="009E2C40" w:rsidRPr="009E2C40" w:rsidRDefault="009E2C40" w:rsidP="0090499F">
      <w:pPr>
        <w:tabs>
          <w:tab w:val="left" w:pos="0"/>
          <w:tab w:val="center" w:pos="3544"/>
          <w:tab w:val="right" w:pos="8640"/>
        </w:tabs>
        <w:spacing w:after="0" w:line="240" w:lineRule="auto"/>
        <w:jc w:val="center"/>
        <w:rPr>
          <w:rFonts w:eastAsia="Calibri" w:cs="Times New Roman"/>
          <w:b/>
          <w:szCs w:val="24"/>
        </w:rPr>
      </w:pPr>
    </w:p>
    <w:p w14:paraId="0EA1FB98" w14:textId="1D9902A5" w:rsidR="009E2C40" w:rsidRPr="009E2C40" w:rsidRDefault="009E2C40" w:rsidP="009E2C40">
      <w:pPr>
        <w:ind w:firstLine="426"/>
        <w:jc w:val="center"/>
        <w:rPr>
          <w:rFonts w:cs="Times New Roman"/>
          <w:b/>
          <w:szCs w:val="24"/>
        </w:rPr>
      </w:pPr>
      <w:r w:rsidRPr="009E2C40">
        <w:rPr>
          <w:rFonts w:cs="Times New Roman"/>
          <w:b/>
          <w:szCs w:val="24"/>
        </w:rPr>
        <w:t xml:space="preserve">1. BENDRIEJI REIKALAVIMAI </w:t>
      </w:r>
    </w:p>
    <w:p w14:paraId="773DA14D" w14:textId="77777777" w:rsidR="009E2C40" w:rsidRPr="009E2C40" w:rsidRDefault="009E2C40" w:rsidP="009E2C40">
      <w:pPr>
        <w:ind w:firstLine="426"/>
        <w:jc w:val="both"/>
        <w:rPr>
          <w:rFonts w:cs="Times New Roman"/>
          <w:bCs/>
          <w:szCs w:val="24"/>
        </w:rPr>
      </w:pPr>
      <w:r w:rsidRPr="009E2C40">
        <w:rPr>
          <w:rFonts w:cs="Times New Roman"/>
          <w:bCs/>
          <w:szCs w:val="24"/>
        </w:rPr>
        <w:t>1.1. Informatikos ir ryšių departamentas prie Lietuvos Respublikos vidaus reikalų ministerijos (toliau – IRD) yra Lietuvos Respublikos vidaus reikalų ministerijos valdomų registrų informacinių sistemų ir informacinių sistemų tvarkytojas ir užtikrina techninės ir programinės įrangos nepertraukiamą veikimą. Naudojant Trend Vision One programinę įrangą yra užtikrinamas IRD administruojamų valstybės informacinių išteklių funkcionavimas ir nepertraukiamas veikimas. 2026-01-17 baigia galioti Trend Micro programinės įrangos gamintojo priežiūra (palaikymas), todėl IRD numato įsigyti šių licencijų palaikymo paslaugas.</w:t>
      </w:r>
    </w:p>
    <w:p w14:paraId="1261F1D3" w14:textId="77777777" w:rsidR="009E2C40" w:rsidRPr="009E2C40" w:rsidRDefault="009E2C40" w:rsidP="009E2C40">
      <w:pPr>
        <w:ind w:firstLine="426"/>
        <w:jc w:val="both"/>
        <w:rPr>
          <w:rFonts w:cs="Times New Roman"/>
          <w:bCs/>
          <w:szCs w:val="24"/>
        </w:rPr>
      </w:pPr>
      <w:r w:rsidRPr="009E2C40">
        <w:rPr>
          <w:rFonts w:cs="Times New Roman"/>
          <w:bCs/>
          <w:szCs w:val="24"/>
        </w:rPr>
        <w:t>1.2. Pirkimo objektą sudaro:</w:t>
      </w:r>
    </w:p>
    <w:p w14:paraId="5286E007" w14:textId="77777777" w:rsidR="009E2C40" w:rsidRPr="009E2C40" w:rsidRDefault="009E2C40" w:rsidP="009E2C40">
      <w:pPr>
        <w:ind w:firstLine="426"/>
        <w:jc w:val="both"/>
        <w:rPr>
          <w:rFonts w:cs="Times New Roman"/>
          <w:bCs/>
          <w:szCs w:val="24"/>
        </w:rPr>
      </w:pPr>
      <w:r w:rsidRPr="009E2C40">
        <w:rPr>
          <w:rFonts w:cs="Times New Roman"/>
          <w:bCs/>
          <w:szCs w:val="24"/>
        </w:rPr>
        <w:t>1.2.1. bazinis apsaugos funkcionalumo Trend Vision One - Endpoint Security (Essentials), atnaujinimas 2026-01-18 iki 2027-01-17 (12 mėn.) (licencijų aktyvavimas) ir palaikymo paslaugos 1 metams) – 400 vnt.;</w:t>
      </w:r>
    </w:p>
    <w:p w14:paraId="1B4D451C" w14:textId="77777777" w:rsidR="009E2C40" w:rsidRPr="009E2C40" w:rsidRDefault="009E2C40" w:rsidP="009E2C40">
      <w:pPr>
        <w:ind w:firstLine="426"/>
        <w:jc w:val="both"/>
        <w:rPr>
          <w:rFonts w:cs="Times New Roman"/>
          <w:bCs/>
          <w:szCs w:val="24"/>
        </w:rPr>
      </w:pPr>
      <w:r w:rsidRPr="009E2C40">
        <w:rPr>
          <w:rFonts w:cs="Times New Roman"/>
          <w:bCs/>
          <w:szCs w:val="24"/>
        </w:rPr>
        <w:t>1.2.2. bazinis apsaugos funkcionalumo Trend Vision One - Endpoint Security (Pro), atnaujinimas 2026-01-18 iki 2027-01-17 (12 mėn.) (licencijų aktyvavimas) ir palaikymo paslaugos 1 metams) – 400 vnt.;</w:t>
      </w:r>
    </w:p>
    <w:p w14:paraId="7E611178" w14:textId="77777777" w:rsidR="009E2C40" w:rsidRPr="009E2C40" w:rsidRDefault="009E2C40" w:rsidP="009E2C40">
      <w:pPr>
        <w:ind w:firstLine="426"/>
        <w:jc w:val="both"/>
        <w:rPr>
          <w:rFonts w:cs="Times New Roman"/>
          <w:bCs/>
          <w:szCs w:val="24"/>
        </w:rPr>
      </w:pPr>
      <w:r w:rsidRPr="009E2C40">
        <w:rPr>
          <w:rFonts w:cs="Times New Roman"/>
          <w:bCs/>
          <w:szCs w:val="24"/>
        </w:rPr>
        <w:t xml:space="preserve">1.2.3. bazinis ir papildomas apsaugos funkcionalumo Trend Vision One - Cyber Risk Exposure Management, atnaujinimas 2026-01-18 iki 2027-01-17 (12 mėn.) (licencijų aktyvavimas) ir palaikymo paslaugos 1 metams) – 800 vnt.;  </w:t>
      </w:r>
    </w:p>
    <w:p w14:paraId="6CE821AD" w14:textId="77777777" w:rsidR="009E2C40" w:rsidRPr="009E2C40" w:rsidRDefault="009E2C40" w:rsidP="009E2C40">
      <w:pPr>
        <w:ind w:firstLine="426"/>
        <w:jc w:val="both"/>
        <w:rPr>
          <w:rFonts w:cs="Times New Roman"/>
          <w:bCs/>
          <w:szCs w:val="24"/>
        </w:rPr>
      </w:pPr>
      <w:r w:rsidRPr="009E2C40">
        <w:rPr>
          <w:rFonts w:cs="Times New Roman"/>
          <w:bCs/>
          <w:szCs w:val="24"/>
        </w:rPr>
        <w:t>1.2.4. bazinis apsaugos funkcionalumo Trend Vision One - Endpoint Security (Essentials), įsigijimas (prenumerata) 2026-01-18 iki 2027-01-17 (12 mėn.) (licencijų aktyvavimas) ir palaikymo paslaugos 1 metams) – 50 vnt.;</w:t>
      </w:r>
    </w:p>
    <w:p w14:paraId="2060D812" w14:textId="77777777" w:rsidR="009E2C40" w:rsidRPr="009E2C40" w:rsidRDefault="009E2C40" w:rsidP="009E2C40">
      <w:pPr>
        <w:ind w:firstLine="426"/>
        <w:jc w:val="both"/>
        <w:rPr>
          <w:rFonts w:cs="Times New Roman"/>
          <w:bCs/>
          <w:szCs w:val="24"/>
        </w:rPr>
      </w:pPr>
      <w:r w:rsidRPr="009E2C40">
        <w:rPr>
          <w:rFonts w:cs="Times New Roman"/>
          <w:bCs/>
          <w:szCs w:val="24"/>
        </w:rPr>
        <w:t>1.2.5. bazinio apsaugos funkcionalumo Trend Vision One - Endpoint Security (Pro), įsigijimas (prenumerata) 2026-01-18 iki 2027-01-17 (12 mėn.) (licencijų aktyvavimas) ir palaikymo paslaugos 1 metams) – 50 vnt.;</w:t>
      </w:r>
    </w:p>
    <w:p w14:paraId="4D6A8431" w14:textId="059A4248" w:rsidR="009E2C40" w:rsidRPr="009E2C40" w:rsidRDefault="009E2C40" w:rsidP="009E2C40">
      <w:pPr>
        <w:ind w:firstLine="426"/>
        <w:jc w:val="both"/>
        <w:rPr>
          <w:rFonts w:cs="Times New Roman"/>
          <w:bCs/>
          <w:szCs w:val="24"/>
        </w:rPr>
      </w:pPr>
      <w:r w:rsidRPr="009E2C40">
        <w:rPr>
          <w:rFonts w:cs="Times New Roman"/>
          <w:bCs/>
          <w:szCs w:val="24"/>
        </w:rPr>
        <w:t>1.2.6. bazinio ir papildomo apsaugos funkcionalumo Trend Vision One - Cyber Risk Exposure Management, įsigijimas (prenumerata) 2026-01-18 iki 2027-01-17 (12 mėn.) (licencijų aktyvavimas) ir palaikymo paslaugos 1 metams) – 100 vnt.</w:t>
      </w:r>
      <w:r w:rsidRPr="009E2C40">
        <w:rPr>
          <w:rFonts w:cs="Times New Roman"/>
          <w:b/>
          <w:szCs w:val="24"/>
        </w:rPr>
        <w:br w:type="page"/>
      </w:r>
    </w:p>
    <w:p w14:paraId="0A5E2F16" w14:textId="77777777" w:rsidR="009E2C40" w:rsidRPr="009E2C40" w:rsidRDefault="009E2C40" w:rsidP="009E2C40">
      <w:pPr>
        <w:jc w:val="center"/>
        <w:rPr>
          <w:rFonts w:cs="Times New Roman"/>
          <w:b/>
          <w:szCs w:val="24"/>
        </w:rPr>
      </w:pPr>
    </w:p>
    <w:p w14:paraId="0B8E4CDE" w14:textId="09ED6B6C" w:rsidR="009E2C40" w:rsidRPr="009E2C40" w:rsidRDefault="009E2C40" w:rsidP="009E2C40">
      <w:pPr>
        <w:jc w:val="center"/>
        <w:rPr>
          <w:rFonts w:cs="Times New Roman"/>
          <w:b/>
          <w:szCs w:val="24"/>
        </w:rPr>
      </w:pPr>
      <w:r w:rsidRPr="009E2C40">
        <w:rPr>
          <w:rFonts w:cs="Times New Roman"/>
          <w:b/>
          <w:szCs w:val="24"/>
        </w:rPr>
        <w:t>II. TECHNINĖ INFORMACIJA</w:t>
      </w:r>
    </w:p>
    <w:p w14:paraId="22000616" w14:textId="743EC89A" w:rsidR="009E2C40" w:rsidRPr="009E2C40" w:rsidRDefault="009E2C40" w:rsidP="009E2C40">
      <w:pPr>
        <w:jc w:val="both"/>
        <w:rPr>
          <w:rFonts w:cs="Times New Roman"/>
          <w:b/>
          <w:szCs w:val="24"/>
        </w:rPr>
      </w:pPr>
      <w:r w:rsidRPr="009E2C40">
        <w:rPr>
          <w:rFonts w:cs="Times New Roman"/>
          <w:b/>
          <w:szCs w:val="24"/>
        </w:rPr>
        <w:t xml:space="preserve">1 lentelė. </w:t>
      </w:r>
      <w:r w:rsidRPr="009E2C40">
        <w:rPr>
          <w:rFonts w:cs="Times New Roman"/>
          <w:b/>
          <w:iCs/>
          <w:szCs w:val="24"/>
          <w:lang w:eastAsia="lt-LT"/>
        </w:rPr>
        <w:t>Trend Micro</w:t>
      </w:r>
      <w:r w:rsidRPr="009E2C40">
        <w:rPr>
          <w:rFonts w:cs="Times New Roman"/>
          <w:bCs/>
          <w:iCs/>
          <w:szCs w:val="24"/>
          <w:lang w:eastAsia="lt-LT"/>
        </w:rPr>
        <w:t xml:space="preserve"> </w:t>
      </w:r>
      <w:r w:rsidRPr="009E2C40">
        <w:rPr>
          <w:rFonts w:cs="Times New Roman"/>
          <w:b/>
          <w:szCs w:val="24"/>
        </w:rPr>
        <w:t xml:space="preserve">programinės įrangos </w:t>
      </w:r>
      <w:r w:rsidRPr="009E2C40">
        <w:rPr>
          <w:rFonts w:cs="Times New Roman"/>
          <w:b/>
          <w:szCs w:val="24"/>
          <w:lang w:eastAsia="lt-LT"/>
        </w:rPr>
        <w:t xml:space="preserve">palaikymo </w:t>
      </w:r>
      <w:r w:rsidRPr="009E2C40">
        <w:rPr>
          <w:rFonts w:cs="Times New Roman"/>
          <w:b/>
          <w:szCs w:val="24"/>
        </w:rPr>
        <w:t>paslaugų  reikalavimai.</w:t>
      </w:r>
    </w:p>
    <w:tbl>
      <w:tblPr>
        <w:tblpPr w:leftFromText="180" w:rightFromText="180" w:vertAnchor="text" w:tblpXSpec="right" w:tblpY="1"/>
        <w:tblOverlap w:val="neve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695"/>
        <w:gridCol w:w="6180"/>
      </w:tblGrid>
      <w:tr w:rsidR="009E2C40" w:rsidRPr="009E2C40" w14:paraId="560C3B4B" w14:textId="77777777" w:rsidTr="009E2C40">
        <w:trPr>
          <w:tblHeader/>
        </w:trPr>
        <w:tc>
          <w:tcPr>
            <w:tcW w:w="720" w:type="dxa"/>
            <w:vAlign w:val="center"/>
          </w:tcPr>
          <w:p w14:paraId="75F62C1E" w14:textId="77777777" w:rsidR="009E2C40" w:rsidRPr="009E2C40" w:rsidRDefault="009E2C40" w:rsidP="00ED6843">
            <w:pPr>
              <w:tabs>
                <w:tab w:val="left" w:pos="1089"/>
              </w:tabs>
              <w:spacing w:before="40" w:after="40"/>
              <w:jc w:val="center"/>
              <w:rPr>
                <w:rFonts w:cs="Times New Roman"/>
                <w:b/>
                <w:szCs w:val="24"/>
              </w:rPr>
            </w:pPr>
            <w:r w:rsidRPr="009E2C40">
              <w:rPr>
                <w:rFonts w:cs="Times New Roman"/>
                <w:b/>
                <w:szCs w:val="24"/>
              </w:rPr>
              <w:t>Eil. Nr.</w:t>
            </w:r>
          </w:p>
        </w:tc>
        <w:tc>
          <w:tcPr>
            <w:tcW w:w="2695" w:type="dxa"/>
            <w:vAlign w:val="center"/>
          </w:tcPr>
          <w:p w14:paraId="00076899" w14:textId="77777777" w:rsidR="009E2C40" w:rsidRPr="009E2C40" w:rsidRDefault="009E2C40" w:rsidP="00ED6843">
            <w:pPr>
              <w:tabs>
                <w:tab w:val="left" w:pos="1089"/>
              </w:tabs>
              <w:spacing w:before="40" w:after="40"/>
              <w:jc w:val="center"/>
              <w:rPr>
                <w:rFonts w:cs="Times New Roman"/>
                <w:b/>
                <w:szCs w:val="24"/>
              </w:rPr>
            </w:pPr>
            <w:r w:rsidRPr="009E2C40">
              <w:rPr>
                <w:rFonts w:cs="Times New Roman"/>
                <w:b/>
                <w:szCs w:val="24"/>
              </w:rPr>
              <w:t>Parametras</w:t>
            </w:r>
          </w:p>
        </w:tc>
        <w:tc>
          <w:tcPr>
            <w:tcW w:w="6180" w:type="dxa"/>
            <w:vAlign w:val="center"/>
          </w:tcPr>
          <w:p w14:paraId="37446610" w14:textId="77777777" w:rsidR="009E2C40" w:rsidRPr="009E2C40" w:rsidRDefault="009E2C40" w:rsidP="00ED6843">
            <w:pPr>
              <w:tabs>
                <w:tab w:val="left" w:pos="1089"/>
              </w:tabs>
              <w:spacing w:before="40" w:after="40"/>
              <w:jc w:val="center"/>
              <w:rPr>
                <w:rFonts w:cs="Times New Roman"/>
                <w:b/>
                <w:szCs w:val="24"/>
              </w:rPr>
            </w:pPr>
            <w:r w:rsidRPr="009E2C40">
              <w:rPr>
                <w:rFonts w:cs="Times New Roman"/>
                <w:b/>
                <w:szCs w:val="24"/>
              </w:rPr>
              <w:t>Reikalaujama parametro reikšmė</w:t>
            </w:r>
          </w:p>
        </w:tc>
      </w:tr>
      <w:tr w:rsidR="009E2C40" w:rsidRPr="009E2C40" w14:paraId="0450CC8B" w14:textId="77777777" w:rsidTr="009E2C40">
        <w:trPr>
          <w:tblHeader/>
        </w:trPr>
        <w:tc>
          <w:tcPr>
            <w:tcW w:w="720" w:type="dxa"/>
            <w:vAlign w:val="center"/>
          </w:tcPr>
          <w:p w14:paraId="2E4B9EAA" w14:textId="77777777" w:rsidR="009E2C40" w:rsidRPr="009E2C40" w:rsidRDefault="009E2C40" w:rsidP="00ED6843">
            <w:pPr>
              <w:tabs>
                <w:tab w:val="left" w:pos="1089"/>
              </w:tabs>
              <w:spacing w:before="40" w:after="40"/>
              <w:jc w:val="both"/>
              <w:rPr>
                <w:rFonts w:cs="Times New Roman"/>
                <w:szCs w:val="24"/>
              </w:rPr>
            </w:pPr>
            <w:r w:rsidRPr="009E2C40">
              <w:rPr>
                <w:rFonts w:cs="Times New Roman"/>
                <w:szCs w:val="24"/>
              </w:rPr>
              <w:t>1.</w:t>
            </w:r>
          </w:p>
        </w:tc>
        <w:tc>
          <w:tcPr>
            <w:tcW w:w="2695" w:type="dxa"/>
          </w:tcPr>
          <w:p w14:paraId="2612A13F" w14:textId="77777777" w:rsidR="009E2C40" w:rsidRPr="009E2C40" w:rsidRDefault="009E2C40" w:rsidP="00ED6843">
            <w:pPr>
              <w:tabs>
                <w:tab w:val="left" w:pos="1089"/>
              </w:tabs>
              <w:spacing w:before="40" w:after="40"/>
              <w:jc w:val="both"/>
              <w:rPr>
                <w:rFonts w:cs="Times New Roman"/>
                <w:b/>
                <w:szCs w:val="24"/>
              </w:rPr>
            </w:pPr>
            <w:r w:rsidRPr="009E2C40">
              <w:rPr>
                <w:rFonts w:cs="Times New Roman"/>
                <w:szCs w:val="24"/>
              </w:rPr>
              <w:t>Tiekėjas turi būti „Trend Micro“ programinės įrangos gamintojas arba būti įgaliotas gamintojo atstovas arba turi būti sudaręs atitinkamą sutartį su kitu ūkio subjektu, turinčiu teisę teikti siūlomos įrangos palaikymo, priežiūros paslaugas</w:t>
            </w:r>
          </w:p>
        </w:tc>
        <w:tc>
          <w:tcPr>
            <w:tcW w:w="6180" w:type="dxa"/>
          </w:tcPr>
          <w:p w14:paraId="33C0BE49" w14:textId="77777777" w:rsidR="009E2C40" w:rsidRPr="009E2C40" w:rsidRDefault="009E2C40" w:rsidP="00ED6843">
            <w:pPr>
              <w:tabs>
                <w:tab w:val="left" w:pos="1089"/>
              </w:tabs>
              <w:spacing w:before="40" w:after="40"/>
              <w:jc w:val="both"/>
              <w:rPr>
                <w:rFonts w:cs="Times New Roman"/>
                <w:b/>
                <w:szCs w:val="24"/>
              </w:rPr>
            </w:pPr>
            <w:r w:rsidRPr="009E2C40">
              <w:rPr>
                <w:rFonts w:cs="Times New Roman"/>
                <w:szCs w:val="24"/>
              </w:rPr>
              <w:t>Su pasiūlymu turi būti pateiktas dokumentas, patvirtinantis, kad tiekėjas yra siūlomos palaikyti įrangos gamintojas (pateikiama tiekėjo pažyma), ar įgaliotas siūlomos palaikyti įrangos gamintojo atstovas (pateikiami oficialų atstovavimą patvirtinantys dokumentai) ar turi techninės priežiūros atlikimo galimybę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p>
        </w:tc>
      </w:tr>
      <w:tr w:rsidR="009E2C40" w:rsidRPr="009E2C40" w14:paraId="4BABD95A" w14:textId="77777777" w:rsidTr="009E2C40">
        <w:tc>
          <w:tcPr>
            <w:tcW w:w="720" w:type="dxa"/>
          </w:tcPr>
          <w:p w14:paraId="2AC391B1" w14:textId="77777777" w:rsidR="009E2C40" w:rsidRPr="009E2C40" w:rsidRDefault="009E2C40" w:rsidP="00ED6843">
            <w:pPr>
              <w:tabs>
                <w:tab w:val="left" w:pos="1089"/>
              </w:tabs>
              <w:spacing w:before="40" w:after="40"/>
              <w:jc w:val="both"/>
              <w:rPr>
                <w:rFonts w:cs="Times New Roman"/>
                <w:szCs w:val="24"/>
              </w:rPr>
            </w:pPr>
            <w:r w:rsidRPr="009E2C40">
              <w:rPr>
                <w:rFonts w:cs="Times New Roman"/>
                <w:szCs w:val="24"/>
              </w:rPr>
              <w:t>2.</w:t>
            </w:r>
          </w:p>
        </w:tc>
        <w:tc>
          <w:tcPr>
            <w:tcW w:w="2695" w:type="dxa"/>
          </w:tcPr>
          <w:p w14:paraId="2BB8F8B0" w14:textId="77777777" w:rsidR="009E2C40" w:rsidRPr="009E2C40" w:rsidRDefault="009E2C40" w:rsidP="00ED6843">
            <w:pPr>
              <w:tabs>
                <w:tab w:val="left" w:pos="1089"/>
              </w:tabs>
              <w:spacing w:before="40" w:after="40"/>
              <w:jc w:val="both"/>
              <w:rPr>
                <w:rFonts w:cs="Times New Roman"/>
                <w:szCs w:val="24"/>
              </w:rPr>
            </w:pPr>
            <w:r w:rsidRPr="009E2C40">
              <w:rPr>
                <w:rFonts w:cs="Times New Roman"/>
                <w:szCs w:val="24"/>
              </w:rPr>
              <w:t>Reikalavimai</w:t>
            </w:r>
            <w:r w:rsidRPr="009E2C40">
              <w:rPr>
                <w:rFonts w:cs="Times New Roman"/>
                <w:b/>
                <w:szCs w:val="24"/>
              </w:rPr>
              <w:t xml:space="preserve"> </w:t>
            </w:r>
            <w:r w:rsidRPr="009E2C40">
              <w:rPr>
                <w:rFonts w:cs="Times New Roman"/>
                <w:szCs w:val="24"/>
              </w:rPr>
              <w:t>„Trend Micro“ palaikymo paslaugai</w:t>
            </w:r>
          </w:p>
          <w:p w14:paraId="7229330E" w14:textId="77777777" w:rsidR="009E2C40" w:rsidRPr="009E2C40" w:rsidRDefault="009E2C40" w:rsidP="00ED6843">
            <w:pPr>
              <w:jc w:val="both"/>
              <w:rPr>
                <w:rFonts w:cs="Times New Roman"/>
                <w:szCs w:val="24"/>
              </w:rPr>
            </w:pPr>
          </w:p>
        </w:tc>
        <w:tc>
          <w:tcPr>
            <w:tcW w:w="6180" w:type="dxa"/>
          </w:tcPr>
          <w:p w14:paraId="319885FD" w14:textId="77777777" w:rsidR="009E2C40" w:rsidRPr="009E2C40" w:rsidRDefault="009E2C40" w:rsidP="00ED6843">
            <w:pPr>
              <w:tabs>
                <w:tab w:val="left" w:pos="1089"/>
              </w:tabs>
              <w:spacing w:before="40" w:after="40"/>
              <w:jc w:val="both"/>
              <w:rPr>
                <w:rFonts w:cs="Times New Roman"/>
                <w:szCs w:val="24"/>
              </w:rPr>
            </w:pPr>
            <w:r w:rsidRPr="009E2C40">
              <w:rPr>
                <w:rFonts w:cs="Times New Roman"/>
                <w:szCs w:val="24"/>
              </w:rPr>
              <w:t xml:space="preserve">„Trend Micro“ programinės įrangos </w:t>
            </w:r>
            <w:r w:rsidRPr="009E2C40">
              <w:rPr>
                <w:rFonts w:cs="Times New Roman"/>
                <w:b/>
                <w:bCs/>
                <w:szCs w:val="24"/>
              </w:rPr>
              <w:t>unikalaus - palaikymo identifikacijos numerio</w:t>
            </w:r>
            <w:r w:rsidRPr="009E2C40">
              <w:rPr>
                <w:rFonts w:cs="Times New Roman"/>
                <w:szCs w:val="24"/>
              </w:rPr>
              <w:t> (CSI) pagalba bus registruojami paklausimai, programinės įrangos klaidos įrangos gamintojos svetainėje.</w:t>
            </w:r>
          </w:p>
          <w:p w14:paraId="435915F3" w14:textId="77777777" w:rsidR="009E2C40" w:rsidRPr="009E2C40" w:rsidRDefault="009E2C40" w:rsidP="00ED6843">
            <w:pPr>
              <w:tabs>
                <w:tab w:val="left" w:pos="1089"/>
              </w:tabs>
              <w:spacing w:before="40" w:after="40"/>
              <w:jc w:val="both"/>
              <w:rPr>
                <w:rFonts w:cs="Times New Roman"/>
                <w:szCs w:val="24"/>
              </w:rPr>
            </w:pPr>
            <w:r w:rsidRPr="009E2C40">
              <w:rPr>
                <w:rFonts w:cs="Times New Roman"/>
                <w:szCs w:val="24"/>
              </w:rPr>
              <w:t>Perkančioji organizacija bus informuojama apie programinės įrangos gamintojos naujausią programinę įrangą ir jos versijas. Informacijos gavimą inicijuos perkančioji organizacija.</w:t>
            </w:r>
          </w:p>
        </w:tc>
      </w:tr>
    </w:tbl>
    <w:p w14:paraId="1ABE35E1" w14:textId="77777777" w:rsidR="009E2C40" w:rsidRPr="009E2C40" w:rsidRDefault="009E2C40" w:rsidP="009E2C40">
      <w:pPr>
        <w:ind w:firstLine="426"/>
        <w:jc w:val="center"/>
        <w:rPr>
          <w:rFonts w:eastAsia="Aptos" w:cs="Times New Roman"/>
          <w:b/>
          <w:bCs/>
          <w:szCs w:val="24"/>
          <w:lang w:eastAsia="lt-LT"/>
        </w:rPr>
      </w:pPr>
    </w:p>
    <w:p w14:paraId="5574F55A" w14:textId="27A2A8E5" w:rsidR="009E2C40" w:rsidRPr="009E2C40" w:rsidRDefault="009E2C40" w:rsidP="009E2C40">
      <w:pPr>
        <w:jc w:val="both"/>
        <w:rPr>
          <w:rFonts w:cs="Times New Roman"/>
          <w:b/>
          <w:szCs w:val="24"/>
        </w:rPr>
      </w:pPr>
      <w:r w:rsidRPr="009E2C40">
        <w:rPr>
          <w:rFonts w:cs="Times New Roman"/>
          <w:b/>
          <w:szCs w:val="24"/>
        </w:rPr>
        <w:t>2 lentelė. Turimų „Trend Micro“ programinės įrangos licencijų palaikymo identifikacijos numeris ir galiojimo terminas; naujai įsigyjamų licencijų palaikymo (galiojimo) terminas.</w:t>
      </w:r>
    </w:p>
    <w:tbl>
      <w:tblPr>
        <w:tblStyle w:val="Lentelstinklelis1"/>
        <w:tblW w:w="9639" w:type="dxa"/>
        <w:tblInd w:w="-5" w:type="dxa"/>
        <w:tblLayout w:type="fixed"/>
        <w:tblLook w:val="04A0" w:firstRow="1" w:lastRow="0" w:firstColumn="1" w:lastColumn="0" w:noHBand="0" w:noVBand="1"/>
      </w:tblPr>
      <w:tblGrid>
        <w:gridCol w:w="709"/>
        <w:gridCol w:w="1701"/>
        <w:gridCol w:w="1701"/>
        <w:gridCol w:w="1134"/>
        <w:gridCol w:w="1559"/>
        <w:gridCol w:w="1418"/>
        <w:gridCol w:w="1417"/>
      </w:tblGrid>
      <w:tr w:rsidR="009E2C40" w:rsidRPr="009E2C40" w14:paraId="2324DC0D" w14:textId="77777777" w:rsidTr="009E2C40">
        <w:tc>
          <w:tcPr>
            <w:tcW w:w="709" w:type="dxa"/>
          </w:tcPr>
          <w:p w14:paraId="02F55943" w14:textId="77777777" w:rsidR="009E2C40" w:rsidRPr="009E2C40" w:rsidRDefault="009E2C40" w:rsidP="00ED6843">
            <w:pPr>
              <w:jc w:val="center"/>
              <w:rPr>
                <w:rFonts w:cs="Times New Roman"/>
                <w:b/>
                <w:szCs w:val="24"/>
                <w:lang w:val="lt-LT"/>
              </w:rPr>
            </w:pPr>
            <w:r w:rsidRPr="009E2C40">
              <w:rPr>
                <w:rFonts w:cs="Times New Roman"/>
                <w:b/>
                <w:szCs w:val="24"/>
                <w:lang w:val="lt-LT"/>
              </w:rPr>
              <w:t>Eil. Nr.</w:t>
            </w:r>
          </w:p>
        </w:tc>
        <w:tc>
          <w:tcPr>
            <w:tcW w:w="1701" w:type="dxa"/>
          </w:tcPr>
          <w:p w14:paraId="196E1178" w14:textId="77777777" w:rsidR="009E2C40" w:rsidRPr="009E2C40" w:rsidRDefault="009E2C40" w:rsidP="00ED6843">
            <w:pPr>
              <w:jc w:val="center"/>
              <w:rPr>
                <w:rFonts w:cs="Times New Roman"/>
                <w:b/>
                <w:szCs w:val="24"/>
                <w:lang w:val="lt-LT"/>
              </w:rPr>
            </w:pPr>
            <w:r w:rsidRPr="009E2C40">
              <w:rPr>
                <w:rFonts w:cs="Times New Roman"/>
                <w:b/>
                <w:szCs w:val="24"/>
                <w:lang w:val="lt-LT"/>
              </w:rPr>
              <w:t>Pavadinimas</w:t>
            </w:r>
          </w:p>
        </w:tc>
        <w:tc>
          <w:tcPr>
            <w:tcW w:w="1701" w:type="dxa"/>
          </w:tcPr>
          <w:p w14:paraId="2EA0EFEE" w14:textId="77777777" w:rsidR="009E2C40" w:rsidRPr="009E2C40" w:rsidRDefault="009E2C40" w:rsidP="00ED6843">
            <w:pPr>
              <w:jc w:val="center"/>
              <w:rPr>
                <w:rFonts w:cs="Times New Roman"/>
                <w:b/>
                <w:szCs w:val="24"/>
                <w:lang w:val="lt-LT"/>
              </w:rPr>
            </w:pPr>
            <w:r w:rsidRPr="009E2C40">
              <w:rPr>
                <w:rFonts w:cs="Times New Roman"/>
                <w:b/>
                <w:szCs w:val="24"/>
                <w:lang w:val="lt-LT"/>
              </w:rPr>
              <w:t>Identifikacijos numeris</w:t>
            </w:r>
          </w:p>
        </w:tc>
        <w:tc>
          <w:tcPr>
            <w:tcW w:w="1134" w:type="dxa"/>
          </w:tcPr>
          <w:p w14:paraId="6F2144F1" w14:textId="77777777" w:rsidR="009E2C40" w:rsidRPr="009E2C40" w:rsidRDefault="009E2C40" w:rsidP="00ED6843">
            <w:pPr>
              <w:jc w:val="center"/>
              <w:rPr>
                <w:rFonts w:cs="Times New Roman"/>
                <w:b/>
                <w:szCs w:val="24"/>
                <w:lang w:val="lt-LT"/>
              </w:rPr>
            </w:pPr>
            <w:r w:rsidRPr="009E2C40">
              <w:rPr>
                <w:rFonts w:cs="Times New Roman"/>
                <w:b/>
                <w:szCs w:val="24"/>
                <w:lang w:val="lt-LT"/>
              </w:rPr>
              <w:t>Vienietų (procesorių) skaičius</w:t>
            </w:r>
          </w:p>
        </w:tc>
        <w:tc>
          <w:tcPr>
            <w:tcW w:w="1559" w:type="dxa"/>
          </w:tcPr>
          <w:p w14:paraId="6A5EB654" w14:textId="77777777" w:rsidR="009E2C40" w:rsidRPr="009E2C40" w:rsidRDefault="009E2C40" w:rsidP="00ED6843">
            <w:pPr>
              <w:jc w:val="center"/>
              <w:rPr>
                <w:rFonts w:cs="Times New Roman"/>
                <w:b/>
                <w:szCs w:val="24"/>
                <w:lang w:val="lt-LT"/>
              </w:rPr>
            </w:pPr>
            <w:r w:rsidRPr="009E2C40">
              <w:rPr>
                <w:rFonts w:cs="Times New Roman"/>
                <w:b/>
                <w:bCs/>
                <w:szCs w:val="24"/>
                <w:lang w:val="lt-LT"/>
              </w:rPr>
              <w:t>Turimų licencijų priežiūros galiojimo pabaigos data</w:t>
            </w:r>
          </w:p>
        </w:tc>
        <w:tc>
          <w:tcPr>
            <w:tcW w:w="1418" w:type="dxa"/>
          </w:tcPr>
          <w:p w14:paraId="4E859A31" w14:textId="77777777" w:rsidR="009E2C40" w:rsidRPr="009E2C40" w:rsidRDefault="009E2C40" w:rsidP="00ED6843">
            <w:pPr>
              <w:jc w:val="center"/>
              <w:rPr>
                <w:rFonts w:cs="Times New Roman"/>
                <w:b/>
                <w:szCs w:val="24"/>
                <w:lang w:val="lt-LT"/>
              </w:rPr>
            </w:pPr>
            <w:r w:rsidRPr="009E2C40">
              <w:rPr>
                <w:rFonts w:cs="Times New Roman"/>
                <w:b/>
                <w:szCs w:val="24"/>
                <w:lang w:val="lt-LT"/>
              </w:rPr>
              <w:t>Perkamo licencijų palaikymo galiojimo pradžios data</w:t>
            </w:r>
          </w:p>
        </w:tc>
        <w:tc>
          <w:tcPr>
            <w:tcW w:w="1417" w:type="dxa"/>
          </w:tcPr>
          <w:p w14:paraId="7679364B" w14:textId="77777777" w:rsidR="009E2C40" w:rsidRPr="009E2C40" w:rsidRDefault="009E2C40" w:rsidP="00ED6843">
            <w:pPr>
              <w:jc w:val="center"/>
              <w:rPr>
                <w:rFonts w:cs="Times New Roman"/>
                <w:b/>
                <w:szCs w:val="24"/>
                <w:lang w:val="lt-LT"/>
              </w:rPr>
            </w:pPr>
            <w:r w:rsidRPr="009E2C40">
              <w:rPr>
                <w:rFonts w:cs="Times New Roman"/>
                <w:b/>
                <w:szCs w:val="24"/>
                <w:lang w:val="lt-LT"/>
              </w:rPr>
              <w:t>Perkamo licencijų palaikymo galiojimo pabaigos data</w:t>
            </w:r>
          </w:p>
        </w:tc>
      </w:tr>
      <w:tr w:rsidR="009E2C40" w:rsidRPr="009E2C40" w14:paraId="6753AB0D" w14:textId="77777777" w:rsidTr="009E2C40">
        <w:tc>
          <w:tcPr>
            <w:tcW w:w="709" w:type="dxa"/>
          </w:tcPr>
          <w:p w14:paraId="581A9B7D" w14:textId="77777777" w:rsidR="009E2C40" w:rsidRPr="009E2C40" w:rsidRDefault="009E2C40" w:rsidP="00ED6843">
            <w:pPr>
              <w:jc w:val="center"/>
              <w:rPr>
                <w:rFonts w:cs="Times New Roman"/>
                <w:szCs w:val="24"/>
                <w:lang w:val="lt-LT"/>
              </w:rPr>
            </w:pPr>
            <w:r w:rsidRPr="009E2C40">
              <w:rPr>
                <w:rFonts w:cs="Times New Roman"/>
                <w:szCs w:val="24"/>
                <w:lang w:val="lt-LT"/>
              </w:rPr>
              <w:t>1.</w:t>
            </w:r>
          </w:p>
        </w:tc>
        <w:tc>
          <w:tcPr>
            <w:tcW w:w="1701" w:type="dxa"/>
          </w:tcPr>
          <w:p w14:paraId="0FCBF02B" w14:textId="77777777" w:rsidR="009E2C40" w:rsidRPr="009E2C40" w:rsidRDefault="009E2C40" w:rsidP="00ED6843">
            <w:pPr>
              <w:jc w:val="center"/>
              <w:rPr>
                <w:rFonts w:cs="Times New Roman"/>
                <w:b/>
                <w:szCs w:val="24"/>
                <w:lang w:val="lt-LT"/>
              </w:rPr>
            </w:pPr>
            <w:r w:rsidRPr="009E2C40">
              <w:rPr>
                <w:rFonts w:cs="Times New Roman"/>
                <w:spacing w:val="-4"/>
                <w:szCs w:val="24"/>
                <w:lang w:val="lt-LT" w:eastAsia="lt-LT"/>
              </w:rPr>
              <w:t>Bazinis apsaugos funkcionalumas Trend Vision One - Endpoint Security (Essentials), atnaujinimas</w:t>
            </w:r>
            <w:r w:rsidRPr="009E2C40">
              <w:rPr>
                <w:rFonts w:cs="Times New Roman"/>
                <w:szCs w:val="24"/>
                <w:lang w:val="lt-LT" w:eastAsia="lt-LT"/>
              </w:rPr>
              <w:t xml:space="preserve"> </w:t>
            </w:r>
          </w:p>
        </w:tc>
        <w:tc>
          <w:tcPr>
            <w:tcW w:w="1701" w:type="dxa"/>
          </w:tcPr>
          <w:p w14:paraId="1DC9485D" w14:textId="77777777" w:rsidR="009E2C40" w:rsidRPr="009E2C40" w:rsidRDefault="009E2C40" w:rsidP="00ED6843">
            <w:pPr>
              <w:jc w:val="center"/>
              <w:rPr>
                <w:rFonts w:cs="Times New Roman"/>
                <w:szCs w:val="24"/>
                <w:lang w:val="lt-LT"/>
              </w:rPr>
            </w:pPr>
            <w:r w:rsidRPr="009E2C40">
              <w:rPr>
                <w:rFonts w:cs="Times New Roman"/>
                <w:szCs w:val="24"/>
                <w:lang w:val="lt-LT"/>
              </w:rPr>
              <w:t>722690268241</w:t>
            </w:r>
          </w:p>
        </w:tc>
        <w:tc>
          <w:tcPr>
            <w:tcW w:w="1134" w:type="dxa"/>
          </w:tcPr>
          <w:p w14:paraId="4DE9C7BD" w14:textId="77777777" w:rsidR="009E2C40" w:rsidRPr="009E2C40" w:rsidRDefault="009E2C40" w:rsidP="00ED6843">
            <w:pPr>
              <w:jc w:val="center"/>
              <w:rPr>
                <w:rFonts w:cs="Times New Roman"/>
                <w:szCs w:val="24"/>
                <w:lang w:val="lt-LT"/>
              </w:rPr>
            </w:pPr>
            <w:r w:rsidRPr="009E2C40">
              <w:rPr>
                <w:rFonts w:cs="Times New Roman"/>
                <w:szCs w:val="24"/>
                <w:lang w:val="lt-LT"/>
              </w:rPr>
              <w:t>400</w:t>
            </w:r>
          </w:p>
        </w:tc>
        <w:tc>
          <w:tcPr>
            <w:tcW w:w="1559" w:type="dxa"/>
          </w:tcPr>
          <w:p w14:paraId="1CA08118" w14:textId="77777777" w:rsidR="009E2C40" w:rsidRPr="009E2C40" w:rsidRDefault="009E2C40" w:rsidP="00ED6843">
            <w:pPr>
              <w:jc w:val="center"/>
              <w:rPr>
                <w:rFonts w:cs="Times New Roman"/>
                <w:szCs w:val="24"/>
                <w:lang w:val="lt-LT"/>
              </w:rPr>
            </w:pPr>
            <w:r w:rsidRPr="009E2C40">
              <w:rPr>
                <w:rFonts w:cs="Times New Roman"/>
                <w:szCs w:val="24"/>
                <w:lang w:val="lt-LT"/>
              </w:rPr>
              <w:t>2026-01-17</w:t>
            </w:r>
          </w:p>
        </w:tc>
        <w:tc>
          <w:tcPr>
            <w:tcW w:w="1418" w:type="dxa"/>
          </w:tcPr>
          <w:p w14:paraId="54852A9E" w14:textId="77777777" w:rsidR="009E2C40" w:rsidRPr="009E2C40" w:rsidRDefault="009E2C40" w:rsidP="00ED6843">
            <w:pPr>
              <w:jc w:val="center"/>
              <w:rPr>
                <w:rFonts w:cs="Times New Roman"/>
                <w:szCs w:val="24"/>
                <w:lang w:val="lt-LT"/>
              </w:rPr>
            </w:pPr>
            <w:r w:rsidRPr="009E2C40">
              <w:rPr>
                <w:rFonts w:cs="Times New Roman"/>
                <w:szCs w:val="24"/>
                <w:lang w:val="lt-LT"/>
              </w:rPr>
              <w:t>2026-01-18</w:t>
            </w:r>
          </w:p>
        </w:tc>
        <w:tc>
          <w:tcPr>
            <w:tcW w:w="1417" w:type="dxa"/>
          </w:tcPr>
          <w:p w14:paraId="13C0D262" w14:textId="77777777" w:rsidR="009E2C40" w:rsidRPr="009E2C40" w:rsidRDefault="009E2C40" w:rsidP="00ED6843">
            <w:pPr>
              <w:jc w:val="center"/>
              <w:rPr>
                <w:rFonts w:cs="Times New Roman"/>
                <w:szCs w:val="24"/>
                <w:lang w:val="lt-LT"/>
              </w:rPr>
            </w:pPr>
            <w:r w:rsidRPr="009E2C40">
              <w:rPr>
                <w:rFonts w:cs="Times New Roman"/>
                <w:szCs w:val="24"/>
                <w:lang w:val="lt-LT"/>
              </w:rPr>
              <w:t>2027-01-17</w:t>
            </w:r>
          </w:p>
        </w:tc>
      </w:tr>
      <w:tr w:rsidR="009E2C40" w:rsidRPr="009E2C40" w14:paraId="7821AB59" w14:textId="77777777" w:rsidTr="009E2C40">
        <w:tc>
          <w:tcPr>
            <w:tcW w:w="709" w:type="dxa"/>
          </w:tcPr>
          <w:p w14:paraId="0FD60D6F" w14:textId="77777777" w:rsidR="009E2C40" w:rsidRPr="009E2C40" w:rsidRDefault="009E2C40" w:rsidP="00ED6843">
            <w:pPr>
              <w:jc w:val="center"/>
              <w:rPr>
                <w:rFonts w:cs="Times New Roman"/>
                <w:szCs w:val="24"/>
                <w:lang w:val="lt-LT"/>
              </w:rPr>
            </w:pPr>
            <w:r w:rsidRPr="009E2C40">
              <w:rPr>
                <w:rFonts w:cs="Times New Roman"/>
                <w:szCs w:val="24"/>
                <w:lang w:val="lt-LT"/>
              </w:rPr>
              <w:lastRenderedPageBreak/>
              <w:t>2.</w:t>
            </w:r>
          </w:p>
        </w:tc>
        <w:tc>
          <w:tcPr>
            <w:tcW w:w="1701" w:type="dxa"/>
          </w:tcPr>
          <w:p w14:paraId="21CE0A88" w14:textId="77777777" w:rsidR="009E2C40" w:rsidRPr="009E2C40" w:rsidRDefault="009E2C40" w:rsidP="00ED6843">
            <w:pPr>
              <w:jc w:val="center"/>
              <w:rPr>
                <w:rFonts w:cs="Times New Roman"/>
                <w:b/>
                <w:szCs w:val="24"/>
                <w:lang w:val="lt-LT"/>
              </w:rPr>
            </w:pPr>
            <w:r w:rsidRPr="009E2C40">
              <w:rPr>
                <w:rFonts w:cs="Times New Roman"/>
                <w:szCs w:val="24"/>
                <w:lang w:val="lt-LT" w:eastAsia="lt-LT"/>
              </w:rPr>
              <w:t>B</w:t>
            </w:r>
            <w:r w:rsidRPr="009E2C40">
              <w:rPr>
                <w:rFonts w:cs="Times New Roman"/>
                <w:spacing w:val="-4"/>
                <w:szCs w:val="24"/>
                <w:lang w:val="lt-LT" w:eastAsia="lt-LT"/>
              </w:rPr>
              <w:t>azinis apsaugos funkcionalumas Trend Vision One - Endpoint Security (Pro), atnaujinimas</w:t>
            </w:r>
            <w:r w:rsidRPr="009E2C40">
              <w:rPr>
                <w:rFonts w:cs="Times New Roman"/>
                <w:szCs w:val="24"/>
                <w:lang w:val="lt-LT" w:eastAsia="lt-LT"/>
              </w:rPr>
              <w:t xml:space="preserve"> </w:t>
            </w:r>
          </w:p>
        </w:tc>
        <w:tc>
          <w:tcPr>
            <w:tcW w:w="1701" w:type="dxa"/>
          </w:tcPr>
          <w:p w14:paraId="7876C783" w14:textId="77777777" w:rsidR="009E2C40" w:rsidRPr="009E2C40" w:rsidRDefault="009E2C40" w:rsidP="00ED6843">
            <w:pPr>
              <w:jc w:val="center"/>
              <w:rPr>
                <w:rFonts w:cs="Times New Roman"/>
                <w:szCs w:val="24"/>
                <w:lang w:val="lt-LT"/>
              </w:rPr>
            </w:pPr>
            <w:r w:rsidRPr="009E2C40">
              <w:rPr>
                <w:rFonts w:cs="Times New Roman"/>
                <w:szCs w:val="24"/>
                <w:lang w:val="lt-LT"/>
              </w:rPr>
              <w:t>722690268241</w:t>
            </w:r>
          </w:p>
        </w:tc>
        <w:tc>
          <w:tcPr>
            <w:tcW w:w="1134" w:type="dxa"/>
          </w:tcPr>
          <w:p w14:paraId="7FD0F10F" w14:textId="77777777" w:rsidR="009E2C40" w:rsidRPr="009E2C40" w:rsidRDefault="009E2C40" w:rsidP="00ED6843">
            <w:pPr>
              <w:jc w:val="center"/>
              <w:rPr>
                <w:rFonts w:cs="Times New Roman"/>
                <w:szCs w:val="24"/>
                <w:lang w:val="lt-LT"/>
              </w:rPr>
            </w:pPr>
            <w:r w:rsidRPr="009E2C40">
              <w:rPr>
                <w:rFonts w:cs="Times New Roman"/>
                <w:szCs w:val="24"/>
                <w:lang w:val="lt-LT"/>
              </w:rPr>
              <w:t>400</w:t>
            </w:r>
          </w:p>
        </w:tc>
        <w:tc>
          <w:tcPr>
            <w:tcW w:w="1559" w:type="dxa"/>
          </w:tcPr>
          <w:p w14:paraId="0DBCD20D" w14:textId="77777777" w:rsidR="009E2C40" w:rsidRPr="009E2C40" w:rsidRDefault="009E2C40" w:rsidP="00ED6843">
            <w:pPr>
              <w:jc w:val="center"/>
              <w:rPr>
                <w:rFonts w:cs="Times New Roman"/>
                <w:b/>
                <w:szCs w:val="24"/>
                <w:lang w:val="lt-LT"/>
              </w:rPr>
            </w:pPr>
            <w:r w:rsidRPr="009E2C40">
              <w:rPr>
                <w:rFonts w:cs="Times New Roman"/>
                <w:szCs w:val="24"/>
                <w:lang w:val="lt-LT"/>
              </w:rPr>
              <w:t>2026-01-17</w:t>
            </w:r>
          </w:p>
        </w:tc>
        <w:tc>
          <w:tcPr>
            <w:tcW w:w="1418" w:type="dxa"/>
          </w:tcPr>
          <w:p w14:paraId="1FD2EB1B" w14:textId="77777777" w:rsidR="009E2C40" w:rsidRPr="009E2C40" w:rsidRDefault="009E2C40" w:rsidP="00ED6843">
            <w:pPr>
              <w:jc w:val="center"/>
              <w:rPr>
                <w:rFonts w:cs="Times New Roman"/>
                <w:b/>
                <w:szCs w:val="24"/>
                <w:lang w:val="lt-LT"/>
              </w:rPr>
            </w:pPr>
            <w:r w:rsidRPr="009E2C40">
              <w:rPr>
                <w:rFonts w:cs="Times New Roman"/>
                <w:szCs w:val="24"/>
                <w:lang w:val="lt-LT"/>
              </w:rPr>
              <w:t>2026-01-18</w:t>
            </w:r>
          </w:p>
        </w:tc>
        <w:tc>
          <w:tcPr>
            <w:tcW w:w="1417" w:type="dxa"/>
          </w:tcPr>
          <w:p w14:paraId="79922EFD" w14:textId="77777777" w:rsidR="009E2C40" w:rsidRPr="009E2C40" w:rsidRDefault="009E2C40" w:rsidP="00ED6843">
            <w:pPr>
              <w:jc w:val="center"/>
              <w:rPr>
                <w:rFonts w:cs="Times New Roman"/>
                <w:szCs w:val="24"/>
                <w:lang w:val="lt-LT"/>
              </w:rPr>
            </w:pPr>
            <w:r w:rsidRPr="009E2C40">
              <w:rPr>
                <w:rFonts w:cs="Times New Roman"/>
                <w:szCs w:val="24"/>
                <w:lang w:val="lt-LT"/>
              </w:rPr>
              <w:t>2027-01-17</w:t>
            </w:r>
          </w:p>
        </w:tc>
      </w:tr>
      <w:tr w:rsidR="009E2C40" w:rsidRPr="009E2C40" w14:paraId="13F3E15D" w14:textId="77777777" w:rsidTr="009E2C40">
        <w:tc>
          <w:tcPr>
            <w:tcW w:w="709" w:type="dxa"/>
          </w:tcPr>
          <w:p w14:paraId="3EB776E2" w14:textId="77777777" w:rsidR="009E2C40" w:rsidRPr="009E2C40" w:rsidRDefault="009E2C40" w:rsidP="00ED6843">
            <w:pPr>
              <w:jc w:val="center"/>
              <w:rPr>
                <w:rFonts w:cs="Times New Roman"/>
                <w:szCs w:val="24"/>
                <w:lang w:val="lt-LT"/>
              </w:rPr>
            </w:pPr>
            <w:r w:rsidRPr="009E2C40">
              <w:rPr>
                <w:rFonts w:cs="Times New Roman"/>
                <w:szCs w:val="24"/>
                <w:lang w:val="lt-LT"/>
              </w:rPr>
              <w:t>3.</w:t>
            </w:r>
          </w:p>
        </w:tc>
        <w:tc>
          <w:tcPr>
            <w:tcW w:w="1701" w:type="dxa"/>
          </w:tcPr>
          <w:p w14:paraId="1F589831" w14:textId="77777777" w:rsidR="009E2C40" w:rsidRPr="009E2C40" w:rsidRDefault="009E2C40" w:rsidP="00ED6843">
            <w:pPr>
              <w:jc w:val="center"/>
              <w:rPr>
                <w:rFonts w:cs="Times New Roman"/>
                <w:b/>
                <w:szCs w:val="24"/>
                <w:lang w:val="lt-LT"/>
              </w:rPr>
            </w:pPr>
            <w:r w:rsidRPr="009E2C40">
              <w:rPr>
                <w:rFonts w:cs="Times New Roman"/>
                <w:bCs/>
                <w:szCs w:val="24"/>
                <w:lang w:val="lt-LT"/>
              </w:rPr>
              <w:t>Bazinis ir papildomas apsaugos funkcionalumas Trend Vision One - Cyber Risk Exposure Management,</w:t>
            </w:r>
            <w:r w:rsidRPr="009E2C40">
              <w:rPr>
                <w:rFonts w:cs="Times New Roman"/>
                <w:spacing w:val="-4"/>
                <w:szCs w:val="24"/>
                <w:lang w:val="lt-LT" w:eastAsia="lt-LT"/>
              </w:rPr>
              <w:t xml:space="preserve"> atnaujinimas</w:t>
            </w:r>
            <w:r w:rsidRPr="009E2C40">
              <w:rPr>
                <w:rFonts w:cs="Times New Roman"/>
                <w:szCs w:val="24"/>
                <w:lang w:val="lt-LT" w:eastAsia="lt-LT"/>
              </w:rPr>
              <w:t xml:space="preserve"> </w:t>
            </w:r>
          </w:p>
        </w:tc>
        <w:tc>
          <w:tcPr>
            <w:tcW w:w="1701" w:type="dxa"/>
          </w:tcPr>
          <w:p w14:paraId="24D34C58" w14:textId="77777777" w:rsidR="009E2C40" w:rsidRPr="009E2C40" w:rsidRDefault="009E2C40" w:rsidP="00ED6843">
            <w:pPr>
              <w:jc w:val="center"/>
              <w:rPr>
                <w:rFonts w:cs="Times New Roman"/>
                <w:szCs w:val="24"/>
                <w:lang w:val="lt-LT"/>
              </w:rPr>
            </w:pPr>
            <w:r w:rsidRPr="009E2C40">
              <w:rPr>
                <w:rFonts w:cs="Times New Roman"/>
                <w:szCs w:val="24"/>
                <w:lang w:val="lt-LT"/>
              </w:rPr>
              <w:t>722690268241</w:t>
            </w:r>
          </w:p>
        </w:tc>
        <w:tc>
          <w:tcPr>
            <w:tcW w:w="1134" w:type="dxa"/>
          </w:tcPr>
          <w:p w14:paraId="59249CD1" w14:textId="77777777" w:rsidR="009E2C40" w:rsidRPr="009E2C40" w:rsidRDefault="009E2C40" w:rsidP="00ED6843">
            <w:pPr>
              <w:jc w:val="center"/>
              <w:rPr>
                <w:rFonts w:cs="Times New Roman"/>
                <w:szCs w:val="24"/>
                <w:lang w:val="lt-LT"/>
              </w:rPr>
            </w:pPr>
            <w:r w:rsidRPr="009E2C40">
              <w:rPr>
                <w:rFonts w:cs="Times New Roman"/>
                <w:szCs w:val="24"/>
                <w:lang w:val="lt-LT"/>
              </w:rPr>
              <w:t>800</w:t>
            </w:r>
          </w:p>
        </w:tc>
        <w:tc>
          <w:tcPr>
            <w:tcW w:w="1559" w:type="dxa"/>
          </w:tcPr>
          <w:p w14:paraId="6CA0D763" w14:textId="77777777" w:rsidR="009E2C40" w:rsidRPr="009E2C40" w:rsidRDefault="009E2C40" w:rsidP="00ED6843">
            <w:pPr>
              <w:jc w:val="center"/>
              <w:rPr>
                <w:rFonts w:cs="Times New Roman"/>
                <w:b/>
                <w:szCs w:val="24"/>
                <w:lang w:val="lt-LT"/>
              </w:rPr>
            </w:pPr>
            <w:r w:rsidRPr="009E2C40">
              <w:rPr>
                <w:rFonts w:cs="Times New Roman"/>
                <w:szCs w:val="24"/>
                <w:lang w:val="lt-LT"/>
              </w:rPr>
              <w:t>2026-01-17</w:t>
            </w:r>
          </w:p>
        </w:tc>
        <w:tc>
          <w:tcPr>
            <w:tcW w:w="1418" w:type="dxa"/>
          </w:tcPr>
          <w:p w14:paraId="7173EC85" w14:textId="77777777" w:rsidR="009E2C40" w:rsidRPr="009E2C40" w:rsidRDefault="009E2C40" w:rsidP="00ED6843">
            <w:pPr>
              <w:jc w:val="center"/>
              <w:rPr>
                <w:rFonts w:cs="Times New Roman"/>
                <w:b/>
                <w:szCs w:val="24"/>
                <w:lang w:val="lt-LT"/>
              </w:rPr>
            </w:pPr>
            <w:r w:rsidRPr="009E2C40">
              <w:rPr>
                <w:rFonts w:cs="Times New Roman"/>
                <w:szCs w:val="24"/>
                <w:lang w:val="lt-LT"/>
              </w:rPr>
              <w:t>2026-01-18</w:t>
            </w:r>
          </w:p>
        </w:tc>
        <w:tc>
          <w:tcPr>
            <w:tcW w:w="1417" w:type="dxa"/>
          </w:tcPr>
          <w:p w14:paraId="07459864" w14:textId="77777777" w:rsidR="009E2C40" w:rsidRPr="009E2C40" w:rsidRDefault="009E2C40" w:rsidP="00ED6843">
            <w:pPr>
              <w:jc w:val="center"/>
              <w:rPr>
                <w:rFonts w:cs="Times New Roman"/>
                <w:szCs w:val="24"/>
                <w:lang w:val="lt-LT"/>
              </w:rPr>
            </w:pPr>
            <w:r w:rsidRPr="009E2C40">
              <w:rPr>
                <w:rFonts w:cs="Times New Roman"/>
                <w:szCs w:val="24"/>
                <w:lang w:val="lt-LT"/>
              </w:rPr>
              <w:t>2027-01-17</w:t>
            </w:r>
          </w:p>
        </w:tc>
      </w:tr>
      <w:tr w:rsidR="009E2C40" w:rsidRPr="009E2C40" w14:paraId="2CB2B8FA" w14:textId="77777777" w:rsidTr="009E2C40">
        <w:tc>
          <w:tcPr>
            <w:tcW w:w="709" w:type="dxa"/>
          </w:tcPr>
          <w:p w14:paraId="0E1966A2" w14:textId="77777777" w:rsidR="009E2C40" w:rsidRPr="009E2C40" w:rsidRDefault="009E2C40" w:rsidP="00ED6843">
            <w:pPr>
              <w:jc w:val="center"/>
              <w:rPr>
                <w:rFonts w:cs="Times New Roman"/>
                <w:szCs w:val="24"/>
                <w:lang w:val="lt-LT"/>
              </w:rPr>
            </w:pPr>
            <w:r w:rsidRPr="009E2C40">
              <w:rPr>
                <w:rFonts w:cs="Times New Roman"/>
                <w:szCs w:val="24"/>
                <w:lang w:val="lt-LT"/>
              </w:rPr>
              <w:t>4.</w:t>
            </w:r>
          </w:p>
        </w:tc>
        <w:tc>
          <w:tcPr>
            <w:tcW w:w="1701" w:type="dxa"/>
          </w:tcPr>
          <w:p w14:paraId="7F831104" w14:textId="77777777" w:rsidR="009E2C40" w:rsidRPr="009E2C40" w:rsidRDefault="009E2C40" w:rsidP="00ED6843">
            <w:pPr>
              <w:jc w:val="center"/>
              <w:rPr>
                <w:rFonts w:cs="Times New Roman"/>
                <w:b/>
                <w:szCs w:val="24"/>
                <w:lang w:val="lt-LT"/>
              </w:rPr>
            </w:pPr>
            <w:r w:rsidRPr="009E2C40">
              <w:rPr>
                <w:rFonts w:cs="Times New Roman"/>
                <w:bCs/>
                <w:szCs w:val="24"/>
                <w:lang w:val="lt-LT"/>
              </w:rPr>
              <w:t>Bazinis apsaugos funkcionalumas Trend Vision One - Endpoint Security (Essentials), įsigijimas (prenumerata)</w:t>
            </w:r>
          </w:p>
        </w:tc>
        <w:tc>
          <w:tcPr>
            <w:tcW w:w="1701" w:type="dxa"/>
          </w:tcPr>
          <w:p w14:paraId="6230C12F" w14:textId="77777777" w:rsidR="009E2C40" w:rsidRPr="009E2C40" w:rsidRDefault="009E2C40" w:rsidP="00ED6843">
            <w:pPr>
              <w:jc w:val="center"/>
              <w:rPr>
                <w:rFonts w:cs="Times New Roman"/>
                <w:szCs w:val="24"/>
                <w:lang w:val="lt-LT"/>
              </w:rPr>
            </w:pPr>
          </w:p>
        </w:tc>
        <w:tc>
          <w:tcPr>
            <w:tcW w:w="1134" w:type="dxa"/>
          </w:tcPr>
          <w:p w14:paraId="0370164C" w14:textId="77777777" w:rsidR="009E2C40" w:rsidRPr="009E2C40" w:rsidRDefault="009E2C40" w:rsidP="00ED6843">
            <w:pPr>
              <w:jc w:val="center"/>
              <w:rPr>
                <w:rFonts w:cs="Times New Roman"/>
                <w:szCs w:val="24"/>
                <w:lang w:val="lt-LT"/>
              </w:rPr>
            </w:pPr>
            <w:r w:rsidRPr="009E2C40">
              <w:rPr>
                <w:rFonts w:cs="Times New Roman"/>
                <w:szCs w:val="24"/>
                <w:lang w:val="lt-LT"/>
              </w:rPr>
              <w:t>50</w:t>
            </w:r>
          </w:p>
        </w:tc>
        <w:tc>
          <w:tcPr>
            <w:tcW w:w="1559" w:type="dxa"/>
          </w:tcPr>
          <w:p w14:paraId="7E141C80" w14:textId="77777777" w:rsidR="009E2C40" w:rsidRPr="009E2C40" w:rsidRDefault="009E2C40" w:rsidP="00ED6843">
            <w:pPr>
              <w:jc w:val="center"/>
              <w:rPr>
                <w:rFonts w:cs="Times New Roman"/>
                <w:b/>
                <w:szCs w:val="24"/>
                <w:lang w:val="lt-LT"/>
              </w:rPr>
            </w:pPr>
          </w:p>
        </w:tc>
        <w:tc>
          <w:tcPr>
            <w:tcW w:w="1418" w:type="dxa"/>
          </w:tcPr>
          <w:p w14:paraId="649651DC" w14:textId="77777777" w:rsidR="009E2C40" w:rsidRPr="009E2C40" w:rsidRDefault="009E2C40" w:rsidP="00ED6843">
            <w:pPr>
              <w:jc w:val="center"/>
              <w:rPr>
                <w:rFonts w:cs="Times New Roman"/>
                <w:b/>
                <w:szCs w:val="24"/>
                <w:lang w:val="lt-LT"/>
              </w:rPr>
            </w:pPr>
            <w:r w:rsidRPr="009E2C40">
              <w:rPr>
                <w:rFonts w:cs="Times New Roman"/>
                <w:szCs w:val="24"/>
                <w:lang w:val="lt-LT"/>
              </w:rPr>
              <w:t>2026-01-18</w:t>
            </w:r>
          </w:p>
        </w:tc>
        <w:tc>
          <w:tcPr>
            <w:tcW w:w="1417" w:type="dxa"/>
          </w:tcPr>
          <w:p w14:paraId="75CF4C65" w14:textId="77777777" w:rsidR="009E2C40" w:rsidRPr="009E2C40" w:rsidRDefault="009E2C40" w:rsidP="00ED6843">
            <w:pPr>
              <w:jc w:val="center"/>
              <w:rPr>
                <w:rFonts w:cs="Times New Roman"/>
                <w:szCs w:val="24"/>
                <w:lang w:val="lt-LT"/>
              </w:rPr>
            </w:pPr>
            <w:r w:rsidRPr="009E2C40">
              <w:rPr>
                <w:rFonts w:cs="Times New Roman"/>
                <w:szCs w:val="24"/>
                <w:lang w:val="lt-LT"/>
              </w:rPr>
              <w:t>2027-01-17</w:t>
            </w:r>
          </w:p>
        </w:tc>
      </w:tr>
      <w:tr w:rsidR="009E2C40" w:rsidRPr="009E2C40" w14:paraId="6F78207D" w14:textId="77777777" w:rsidTr="009E2C40">
        <w:tc>
          <w:tcPr>
            <w:tcW w:w="709" w:type="dxa"/>
          </w:tcPr>
          <w:p w14:paraId="5F6F1314" w14:textId="77777777" w:rsidR="009E2C40" w:rsidRPr="009E2C40" w:rsidRDefault="009E2C40" w:rsidP="00ED6843">
            <w:pPr>
              <w:jc w:val="center"/>
              <w:rPr>
                <w:rFonts w:cs="Times New Roman"/>
                <w:szCs w:val="24"/>
                <w:lang w:val="lt-LT"/>
              </w:rPr>
            </w:pPr>
            <w:r w:rsidRPr="009E2C40">
              <w:rPr>
                <w:rFonts w:cs="Times New Roman"/>
                <w:szCs w:val="24"/>
                <w:lang w:val="lt-LT"/>
              </w:rPr>
              <w:t>5.</w:t>
            </w:r>
          </w:p>
        </w:tc>
        <w:tc>
          <w:tcPr>
            <w:tcW w:w="1701" w:type="dxa"/>
          </w:tcPr>
          <w:p w14:paraId="433BD250" w14:textId="77777777" w:rsidR="009E2C40" w:rsidRPr="009E2C40" w:rsidRDefault="009E2C40" w:rsidP="00ED6843">
            <w:pPr>
              <w:jc w:val="center"/>
              <w:rPr>
                <w:rFonts w:cs="Times New Roman"/>
                <w:b/>
                <w:szCs w:val="24"/>
                <w:lang w:val="lt-LT"/>
              </w:rPr>
            </w:pPr>
            <w:r w:rsidRPr="009E2C40">
              <w:rPr>
                <w:rFonts w:cs="Times New Roman"/>
                <w:spacing w:val="-4"/>
                <w:szCs w:val="24"/>
                <w:lang w:val="lt-LT" w:eastAsia="lt-LT"/>
              </w:rPr>
              <w:t>Bazinis apsaugos funkcionalumas Trend Vision One - Endpoint Security (Pro), įsigijimas (prenumerata)</w:t>
            </w:r>
          </w:p>
        </w:tc>
        <w:tc>
          <w:tcPr>
            <w:tcW w:w="1701" w:type="dxa"/>
          </w:tcPr>
          <w:p w14:paraId="69001E0D" w14:textId="77777777" w:rsidR="009E2C40" w:rsidRPr="009E2C40" w:rsidRDefault="009E2C40" w:rsidP="00ED6843">
            <w:pPr>
              <w:jc w:val="center"/>
              <w:rPr>
                <w:rFonts w:cs="Times New Roman"/>
                <w:szCs w:val="24"/>
                <w:lang w:val="lt-LT"/>
              </w:rPr>
            </w:pPr>
          </w:p>
        </w:tc>
        <w:tc>
          <w:tcPr>
            <w:tcW w:w="1134" w:type="dxa"/>
          </w:tcPr>
          <w:p w14:paraId="448DD481" w14:textId="77777777" w:rsidR="009E2C40" w:rsidRPr="009E2C40" w:rsidRDefault="009E2C40" w:rsidP="00ED6843">
            <w:pPr>
              <w:jc w:val="center"/>
              <w:rPr>
                <w:rFonts w:cs="Times New Roman"/>
                <w:szCs w:val="24"/>
                <w:lang w:val="lt-LT"/>
              </w:rPr>
            </w:pPr>
            <w:r w:rsidRPr="009E2C40">
              <w:rPr>
                <w:rFonts w:cs="Times New Roman"/>
                <w:szCs w:val="24"/>
                <w:lang w:val="lt-LT"/>
              </w:rPr>
              <w:t>50</w:t>
            </w:r>
          </w:p>
        </w:tc>
        <w:tc>
          <w:tcPr>
            <w:tcW w:w="1559" w:type="dxa"/>
          </w:tcPr>
          <w:p w14:paraId="101E3567" w14:textId="77777777" w:rsidR="009E2C40" w:rsidRPr="009E2C40" w:rsidRDefault="009E2C40" w:rsidP="00ED6843">
            <w:pPr>
              <w:jc w:val="center"/>
              <w:rPr>
                <w:rFonts w:cs="Times New Roman"/>
                <w:b/>
                <w:szCs w:val="24"/>
                <w:lang w:val="lt-LT"/>
              </w:rPr>
            </w:pPr>
          </w:p>
        </w:tc>
        <w:tc>
          <w:tcPr>
            <w:tcW w:w="1418" w:type="dxa"/>
          </w:tcPr>
          <w:p w14:paraId="71F37067" w14:textId="77777777" w:rsidR="009E2C40" w:rsidRPr="009E2C40" w:rsidRDefault="009E2C40" w:rsidP="00ED6843">
            <w:pPr>
              <w:jc w:val="center"/>
              <w:rPr>
                <w:rFonts w:cs="Times New Roman"/>
                <w:b/>
                <w:szCs w:val="24"/>
                <w:lang w:val="lt-LT"/>
              </w:rPr>
            </w:pPr>
            <w:r w:rsidRPr="009E2C40">
              <w:rPr>
                <w:rFonts w:cs="Times New Roman"/>
                <w:szCs w:val="24"/>
                <w:lang w:val="lt-LT"/>
              </w:rPr>
              <w:t>2026-01-18</w:t>
            </w:r>
          </w:p>
        </w:tc>
        <w:tc>
          <w:tcPr>
            <w:tcW w:w="1417" w:type="dxa"/>
          </w:tcPr>
          <w:p w14:paraId="232C2445" w14:textId="77777777" w:rsidR="009E2C40" w:rsidRPr="009E2C40" w:rsidRDefault="009E2C40" w:rsidP="00ED6843">
            <w:pPr>
              <w:jc w:val="center"/>
              <w:rPr>
                <w:rFonts w:cs="Times New Roman"/>
                <w:szCs w:val="24"/>
                <w:lang w:val="lt-LT"/>
              </w:rPr>
            </w:pPr>
            <w:r w:rsidRPr="009E2C40">
              <w:rPr>
                <w:rFonts w:cs="Times New Roman"/>
                <w:szCs w:val="24"/>
                <w:lang w:val="lt-LT"/>
              </w:rPr>
              <w:t>2027-01-17</w:t>
            </w:r>
          </w:p>
        </w:tc>
      </w:tr>
      <w:tr w:rsidR="009E2C40" w:rsidRPr="009E2C40" w14:paraId="1783DB7F" w14:textId="77777777" w:rsidTr="009E2C40">
        <w:tc>
          <w:tcPr>
            <w:tcW w:w="709" w:type="dxa"/>
          </w:tcPr>
          <w:p w14:paraId="6E8348CE" w14:textId="77777777" w:rsidR="009E2C40" w:rsidRPr="009E2C40" w:rsidRDefault="009E2C40" w:rsidP="00ED6843">
            <w:pPr>
              <w:jc w:val="center"/>
              <w:rPr>
                <w:rFonts w:cs="Times New Roman"/>
                <w:szCs w:val="24"/>
                <w:lang w:val="lt-LT"/>
              </w:rPr>
            </w:pPr>
            <w:r w:rsidRPr="009E2C40">
              <w:rPr>
                <w:rFonts w:cs="Times New Roman"/>
                <w:szCs w:val="24"/>
                <w:lang w:val="lt-LT"/>
              </w:rPr>
              <w:t>6.</w:t>
            </w:r>
          </w:p>
        </w:tc>
        <w:tc>
          <w:tcPr>
            <w:tcW w:w="1701" w:type="dxa"/>
          </w:tcPr>
          <w:p w14:paraId="3D8CE82B" w14:textId="77777777" w:rsidR="009E2C40" w:rsidRPr="009E2C40" w:rsidRDefault="009E2C40" w:rsidP="00ED6843">
            <w:pPr>
              <w:jc w:val="center"/>
              <w:rPr>
                <w:rFonts w:cs="Times New Roman"/>
                <w:b/>
                <w:szCs w:val="24"/>
                <w:lang w:val="lt-LT"/>
              </w:rPr>
            </w:pPr>
            <w:r w:rsidRPr="009E2C40">
              <w:rPr>
                <w:rFonts w:cs="Times New Roman"/>
                <w:bCs/>
                <w:szCs w:val="24"/>
                <w:lang w:val="lt-LT"/>
              </w:rPr>
              <w:t>Bazinis ir papildomas apsaugos funkcionalumas Trend Vision One - Cyber Risk Exposure Management,</w:t>
            </w:r>
            <w:r w:rsidRPr="009E2C40">
              <w:rPr>
                <w:rFonts w:cs="Times New Roman"/>
                <w:spacing w:val="-4"/>
                <w:szCs w:val="24"/>
                <w:lang w:val="lt-LT" w:eastAsia="lt-LT"/>
              </w:rPr>
              <w:t xml:space="preserve"> </w:t>
            </w:r>
            <w:r w:rsidRPr="009E2C40">
              <w:rPr>
                <w:rFonts w:cs="Times New Roman"/>
                <w:spacing w:val="-4"/>
                <w:szCs w:val="24"/>
                <w:lang w:val="lt-LT" w:eastAsia="lt-LT"/>
              </w:rPr>
              <w:lastRenderedPageBreak/>
              <w:t>įsigijimas</w:t>
            </w:r>
            <w:r w:rsidRPr="009E2C40">
              <w:rPr>
                <w:rFonts w:cs="Times New Roman"/>
                <w:szCs w:val="24"/>
                <w:lang w:val="lt-LT" w:eastAsia="lt-LT"/>
              </w:rPr>
              <w:t xml:space="preserve"> (prenumerata)</w:t>
            </w:r>
          </w:p>
        </w:tc>
        <w:tc>
          <w:tcPr>
            <w:tcW w:w="1701" w:type="dxa"/>
          </w:tcPr>
          <w:p w14:paraId="61B391A9" w14:textId="77777777" w:rsidR="009E2C40" w:rsidRPr="009E2C40" w:rsidRDefault="009E2C40" w:rsidP="00ED6843">
            <w:pPr>
              <w:jc w:val="center"/>
              <w:rPr>
                <w:rFonts w:cs="Times New Roman"/>
                <w:szCs w:val="24"/>
                <w:lang w:val="lt-LT"/>
              </w:rPr>
            </w:pPr>
          </w:p>
        </w:tc>
        <w:tc>
          <w:tcPr>
            <w:tcW w:w="1134" w:type="dxa"/>
          </w:tcPr>
          <w:p w14:paraId="40E7EAA5" w14:textId="77777777" w:rsidR="009E2C40" w:rsidRPr="009E2C40" w:rsidRDefault="009E2C40" w:rsidP="00ED6843">
            <w:pPr>
              <w:jc w:val="center"/>
              <w:rPr>
                <w:rFonts w:cs="Times New Roman"/>
                <w:szCs w:val="24"/>
                <w:lang w:val="lt-LT"/>
              </w:rPr>
            </w:pPr>
            <w:r w:rsidRPr="009E2C40">
              <w:rPr>
                <w:rFonts w:cs="Times New Roman"/>
                <w:szCs w:val="24"/>
                <w:lang w:val="lt-LT"/>
              </w:rPr>
              <w:t>100</w:t>
            </w:r>
          </w:p>
        </w:tc>
        <w:tc>
          <w:tcPr>
            <w:tcW w:w="1559" w:type="dxa"/>
          </w:tcPr>
          <w:p w14:paraId="1C218526" w14:textId="77777777" w:rsidR="009E2C40" w:rsidRPr="009E2C40" w:rsidRDefault="009E2C40" w:rsidP="00ED6843">
            <w:pPr>
              <w:jc w:val="center"/>
              <w:rPr>
                <w:rFonts w:cs="Times New Roman"/>
                <w:b/>
                <w:szCs w:val="24"/>
                <w:lang w:val="lt-LT"/>
              </w:rPr>
            </w:pPr>
          </w:p>
        </w:tc>
        <w:tc>
          <w:tcPr>
            <w:tcW w:w="1418" w:type="dxa"/>
          </w:tcPr>
          <w:p w14:paraId="4CFDC80A" w14:textId="77777777" w:rsidR="009E2C40" w:rsidRPr="009E2C40" w:rsidRDefault="009E2C40" w:rsidP="00ED6843">
            <w:pPr>
              <w:jc w:val="center"/>
              <w:rPr>
                <w:rFonts w:cs="Times New Roman"/>
                <w:b/>
                <w:szCs w:val="24"/>
                <w:lang w:val="lt-LT"/>
              </w:rPr>
            </w:pPr>
            <w:r w:rsidRPr="009E2C40">
              <w:rPr>
                <w:rFonts w:cs="Times New Roman"/>
                <w:szCs w:val="24"/>
                <w:lang w:val="lt-LT"/>
              </w:rPr>
              <w:t>2026-01-18</w:t>
            </w:r>
          </w:p>
        </w:tc>
        <w:tc>
          <w:tcPr>
            <w:tcW w:w="1417" w:type="dxa"/>
          </w:tcPr>
          <w:p w14:paraId="3EEFFB2E" w14:textId="77777777" w:rsidR="009E2C40" w:rsidRPr="009E2C40" w:rsidRDefault="009E2C40" w:rsidP="00ED6843">
            <w:pPr>
              <w:jc w:val="center"/>
              <w:rPr>
                <w:rFonts w:cs="Times New Roman"/>
                <w:szCs w:val="24"/>
                <w:lang w:val="lt-LT"/>
              </w:rPr>
            </w:pPr>
            <w:r w:rsidRPr="009E2C40">
              <w:rPr>
                <w:rFonts w:cs="Times New Roman"/>
                <w:szCs w:val="24"/>
                <w:lang w:val="lt-LT"/>
              </w:rPr>
              <w:t>2027-01-17</w:t>
            </w:r>
          </w:p>
        </w:tc>
      </w:tr>
    </w:tbl>
    <w:p w14:paraId="38884B10" w14:textId="77777777" w:rsidR="009E2C40" w:rsidRPr="009E2C40" w:rsidRDefault="009E2C40" w:rsidP="009E2C40">
      <w:pPr>
        <w:rPr>
          <w:rFonts w:cs="Times New Roman"/>
          <w:szCs w:val="24"/>
        </w:rPr>
      </w:pPr>
    </w:p>
    <w:p w14:paraId="5FB479EE" w14:textId="77777777" w:rsidR="009E2C40" w:rsidRPr="009E2C40" w:rsidRDefault="009E2C40" w:rsidP="009E2C40">
      <w:pPr>
        <w:jc w:val="center"/>
        <w:rPr>
          <w:rFonts w:cs="Times New Roman"/>
          <w:b/>
          <w:bCs/>
          <w:szCs w:val="24"/>
          <w:lang w:eastAsia="lt-LT"/>
        </w:rPr>
      </w:pPr>
      <w:r w:rsidRPr="009E2C40">
        <w:rPr>
          <w:rFonts w:cs="Times New Roman"/>
          <w:b/>
          <w:bCs/>
          <w:szCs w:val="24"/>
          <w:lang w:eastAsia="lt-LT"/>
        </w:rPr>
        <w:t>3. REIKALAVIMAI, SUSIJĘ SU NACIONALINIU SAUGUMU.</w:t>
      </w:r>
    </w:p>
    <w:tbl>
      <w:tblPr>
        <w:tblStyle w:val="Lentelstinklelis11"/>
        <w:tblW w:w="4856" w:type="pct"/>
        <w:tblInd w:w="0" w:type="dxa"/>
        <w:tblLook w:val="04A0" w:firstRow="1" w:lastRow="0" w:firstColumn="1" w:lastColumn="0" w:noHBand="0" w:noVBand="1"/>
      </w:tblPr>
      <w:tblGrid>
        <w:gridCol w:w="9351"/>
      </w:tblGrid>
      <w:tr w:rsidR="009E2C40" w:rsidRPr="009E2C40" w14:paraId="1F837017" w14:textId="77777777" w:rsidTr="00ED6843">
        <w:trPr>
          <w:trHeight w:val="16"/>
        </w:trPr>
        <w:tc>
          <w:tcPr>
            <w:tcW w:w="5000" w:type="pct"/>
            <w:tcBorders>
              <w:top w:val="single" w:sz="4" w:space="0" w:color="auto"/>
              <w:left w:val="single" w:sz="4" w:space="0" w:color="auto"/>
              <w:bottom w:val="single" w:sz="4" w:space="0" w:color="auto"/>
              <w:right w:val="single" w:sz="4" w:space="0" w:color="auto"/>
            </w:tcBorders>
            <w:vAlign w:val="center"/>
            <w:hideMark/>
          </w:tcPr>
          <w:p w14:paraId="29B6867D" w14:textId="77777777" w:rsidR="009E2C40" w:rsidRPr="009E2C40" w:rsidRDefault="009E2C40" w:rsidP="00ED6843">
            <w:pPr>
              <w:spacing w:before="60" w:after="60"/>
              <w:jc w:val="both"/>
              <w:rPr>
                <w:rFonts w:cs="Times New Roman"/>
                <w:b/>
                <w:szCs w:val="24"/>
                <w:lang w:val="lt-LT"/>
              </w:rPr>
            </w:pPr>
            <w:r w:rsidRPr="009E2C40">
              <w:rPr>
                <w:rFonts w:cs="Times New Roman"/>
                <w:b/>
                <w:szCs w:val="24"/>
                <w:u w:val="single"/>
                <w:lang w:val="lt-LT"/>
              </w:rPr>
              <w:t>Pirkimo objektui taikomi VPĮ 37 str. 9 dalies reikalavimai susiję su nacionaliniu saugumu*</w:t>
            </w:r>
            <w:r w:rsidRPr="009E2C40">
              <w:rPr>
                <w:rFonts w:cs="Times New Roman"/>
                <w:szCs w:val="24"/>
                <w:lang w:val="lt-LT"/>
              </w:rPr>
              <w:t xml:space="preserve">. Tiekėjas privalo įrodyti, kad siūlomos paslaugos ir prekės nekelia grėsmės nacionaliniam saugumui, </w:t>
            </w:r>
            <w:r w:rsidRPr="009E2C40">
              <w:rPr>
                <w:rFonts w:cs="Times New Roman"/>
                <w:b/>
                <w:szCs w:val="24"/>
                <w:u w:val="single"/>
                <w:lang w:val="lt-LT"/>
              </w:rPr>
              <w:t>paslaugų teikimas nėra vykdomas iš VPĮ 92 straipsnio 14 dalyje numatytame sąraše nurodytų valstybių ar teritorijų</w:t>
            </w:r>
            <w:r w:rsidRPr="009E2C40">
              <w:rPr>
                <w:rFonts w:cs="Times New Roman"/>
                <w:b/>
                <w:szCs w:val="24"/>
                <w:lang w:val="lt-LT"/>
              </w:rPr>
              <w:t>.</w:t>
            </w:r>
          </w:p>
          <w:p w14:paraId="5A5239E2" w14:textId="77777777" w:rsidR="009E2C40" w:rsidRPr="009E2C40" w:rsidRDefault="009E2C40" w:rsidP="00ED6843">
            <w:pPr>
              <w:spacing w:before="60" w:after="60"/>
              <w:jc w:val="both"/>
              <w:rPr>
                <w:rFonts w:cs="Times New Roman"/>
                <w:b/>
                <w:iCs/>
                <w:szCs w:val="24"/>
                <w:highlight w:val="yellow"/>
                <w:lang w:val="lt-LT"/>
              </w:rPr>
            </w:pPr>
          </w:p>
        </w:tc>
      </w:tr>
      <w:tr w:rsidR="009E2C40" w:rsidRPr="009E2C40" w14:paraId="2FCF6281" w14:textId="77777777" w:rsidTr="00ED6843">
        <w:trPr>
          <w:trHeight w:val="983"/>
        </w:trPr>
        <w:tc>
          <w:tcPr>
            <w:tcW w:w="5000" w:type="pct"/>
            <w:tcBorders>
              <w:top w:val="single" w:sz="4" w:space="0" w:color="auto"/>
              <w:left w:val="single" w:sz="4" w:space="0" w:color="auto"/>
              <w:bottom w:val="single" w:sz="4" w:space="0" w:color="auto"/>
              <w:right w:val="single" w:sz="4" w:space="0" w:color="auto"/>
            </w:tcBorders>
            <w:vAlign w:val="center"/>
          </w:tcPr>
          <w:p w14:paraId="106FE5CB" w14:textId="77777777" w:rsidR="009E2C40" w:rsidRPr="009E2C40" w:rsidRDefault="009E2C40" w:rsidP="00ED6843">
            <w:pPr>
              <w:jc w:val="both"/>
              <w:rPr>
                <w:rFonts w:cs="Times New Roman"/>
                <w:iCs/>
                <w:szCs w:val="24"/>
                <w:lang w:val="lt-LT"/>
              </w:rPr>
            </w:pPr>
            <w:r w:rsidRPr="009E2C40">
              <w:rPr>
                <w:rFonts w:cs="Times New Roman"/>
                <w:b/>
                <w:szCs w:val="24"/>
                <w:lang w:val="lt-LT"/>
              </w:rPr>
              <w:t xml:space="preserve">Pirkimo vykdytojas pasiūlymo atitikčiai VPĮ 37 straipsnio 9 dalies reikalavimams patvirtinti iš tiekėjo reikalauja </w:t>
            </w:r>
            <w:r w:rsidRPr="009E2C40">
              <w:rPr>
                <w:rFonts w:cs="Times New Roman"/>
                <w:b/>
                <w:bCs/>
                <w:szCs w:val="24"/>
                <w:lang w:val="lt-LT"/>
              </w:rPr>
              <w:t>KARTU SU PARAIŠKA</w:t>
            </w:r>
            <w:r w:rsidRPr="009E2C40">
              <w:rPr>
                <w:rFonts w:cs="Times New Roman"/>
                <w:szCs w:val="24"/>
                <w:lang w:val="lt-LT"/>
              </w:rPr>
              <w:t xml:space="preserve"> </w:t>
            </w:r>
            <w:r w:rsidRPr="009E2C40">
              <w:rPr>
                <w:rFonts w:cs="Times New Roman"/>
                <w:b/>
                <w:bCs/>
                <w:szCs w:val="24"/>
                <w:lang w:val="lt-LT"/>
              </w:rPr>
              <w:t>PATEIKTI užpildytą „Nacionalinio saugumo reikalavimų atitikties deklaracija“ (7_PRIEDAS_A_DALIS_Atitikties_deklaracija)***, o iš Konkrečiam pirkimui ekonomiškai naudingiausią pasiūlymą pateikusio DPS tiekėjo reikalaus pateikti (</w:t>
            </w:r>
            <w:r w:rsidRPr="009E2C40">
              <w:rPr>
                <w:rFonts w:cs="Times New Roman"/>
                <w:b/>
                <w:bCs/>
                <w:szCs w:val="24"/>
                <w:u w:val="single"/>
                <w:lang w:val="lt-LT"/>
              </w:rPr>
              <w:t>kartu su pasiūlymu šių dokumentų tiekėjas pateikti neturi</w:t>
            </w:r>
            <w:r w:rsidRPr="009E2C40">
              <w:rPr>
                <w:rFonts w:cs="Times New Roman"/>
                <w:b/>
                <w:bCs/>
                <w:szCs w:val="24"/>
                <w:lang w:val="lt-LT"/>
              </w:rPr>
              <w:t xml:space="preserve">) – vieną ar kelis šiuos dokumentus**: </w:t>
            </w:r>
            <w:r w:rsidRPr="009E2C40">
              <w:rPr>
                <w:rFonts w:cs="Times New Roman"/>
                <w:b/>
                <w:szCs w:val="24"/>
                <w:lang w:val="lt-LT"/>
              </w:rPr>
              <w:t xml:space="preserve">juridinio asmens vadovo </w:t>
            </w:r>
            <w:r w:rsidRPr="009E2C40">
              <w:rPr>
                <w:rFonts w:cs="Times New Roman"/>
                <w:b/>
                <w:bCs/>
                <w:szCs w:val="24"/>
                <w:lang w:val="lt-LT"/>
              </w:rPr>
              <w:t>patvirtintą</w:t>
            </w:r>
            <w:r w:rsidRPr="009E2C40">
              <w:rPr>
                <w:rFonts w:cs="Times New Roman"/>
                <w:b/>
                <w:szCs w:val="24"/>
                <w:lang w:val="lt-LT"/>
              </w:rPr>
              <w:t xml:space="preserve"> juridinio asmens steigimo dokumentų </w:t>
            </w:r>
            <w:r w:rsidRPr="009E2C40">
              <w:rPr>
                <w:rFonts w:cs="Times New Roman"/>
                <w:b/>
                <w:bCs/>
                <w:szCs w:val="24"/>
                <w:lang w:val="lt-LT"/>
              </w:rPr>
              <w:t>kopiją</w:t>
            </w:r>
            <w:r w:rsidRPr="009E2C40">
              <w:rPr>
                <w:rFonts w:cs="Times New Roman"/>
                <w:b/>
                <w:szCs w:val="24"/>
                <w:lang w:val="lt-LT"/>
              </w:rPr>
              <w:t xml:space="preserve">, Juridinių asmenų registro </w:t>
            </w:r>
            <w:r w:rsidRPr="009E2C40">
              <w:rPr>
                <w:rFonts w:cs="Times New Roman"/>
                <w:b/>
                <w:bCs/>
                <w:szCs w:val="24"/>
                <w:lang w:val="lt-LT"/>
              </w:rPr>
              <w:t>išplėstinį išrašą</w:t>
            </w:r>
            <w:r w:rsidRPr="009E2C40">
              <w:rPr>
                <w:rFonts w:cs="Times New Roman"/>
                <w:b/>
                <w:szCs w:val="24"/>
                <w:lang w:val="lt-LT"/>
              </w:rPr>
              <w:t xml:space="preserve"> su istorija, </w:t>
            </w:r>
            <w:r w:rsidRPr="009E2C40">
              <w:rPr>
                <w:rFonts w:cs="Times New Roman"/>
                <w:b/>
                <w:bCs/>
                <w:szCs w:val="24"/>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9E2C40">
              <w:rPr>
                <w:rFonts w:cs="Times New Roman"/>
                <w:b/>
                <w:szCs w:val="24"/>
                <w:lang w:val="lt-LT"/>
              </w:rPr>
              <w:t xml:space="preserve"> arba </w:t>
            </w:r>
            <w:r w:rsidRPr="009E2C40">
              <w:rPr>
                <w:rFonts w:cs="Times New Roman"/>
                <w:b/>
                <w:bCs/>
                <w:szCs w:val="24"/>
                <w:lang w:val="lt-LT"/>
              </w:rPr>
              <w:t xml:space="preserve">atitinkamus </w:t>
            </w:r>
            <w:r w:rsidRPr="009E2C40">
              <w:rPr>
                <w:rFonts w:cs="Times New Roman"/>
                <w:b/>
                <w:szCs w:val="24"/>
                <w:lang w:val="lt-LT"/>
              </w:rPr>
              <w:t xml:space="preserve">valstybės narės ar trečiosios šalies </w:t>
            </w:r>
            <w:r w:rsidRPr="009E2C40">
              <w:rPr>
                <w:rFonts w:cs="Times New Roman"/>
                <w:b/>
                <w:bCs/>
                <w:szCs w:val="24"/>
                <w:lang w:val="lt-LT"/>
              </w:rPr>
              <w:t>dokumentus, ar kitus perkančiajai organizacijai priimtinus dokumentus</w:t>
            </w:r>
            <w:r w:rsidRPr="009E2C40">
              <w:rPr>
                <w:rFonts w:cs="Times New Roman"/>
                <w:b/>
                <w:szCs w:val="24"/>
                <w:lang w:val="lt-LT"/>
              </w:rPr>
              <w:t>.</w:t>
            </w:r>
          </w:p>
        </w:tc>
      </w:tr>
      <w:tr w:rsidR="009E2C40" w:rsidRPr="009E2C40" w14:paraId="6068E672" w14:textId="77777777" w:rsidTr="00ED6843">
        <w:trPr>
          <w:trHeight w:val="3109"/>
        </w:trPr>
        <w:tc>
          <w:tcPr>
            <w:tcW w:w="5000" w:type="pct"/>
            <w:tcBorders>
              <w:top w:val="single" w:sz="4" w:space="0" w:color="auto"/>
              <w:left w:val="single" w:sz="4" w:space="0" w:color="auto"/>
              <w:bottom w:val="single" w:sz="4" w:space="0" w:color="auto"/>
              <w:right w:val="single" w:sz="4" w:space="0" w:color="auto"/>
            </w:tcBorders>
            <w:vAlign w:val="center"/>
          </w:tcPr>
          <w:p w14:paraId="4202CCD3" w14:textId="77777777" w:rsidR="009E2C40" w:rsidRPr="009E2C40" w:rsidRDefault="009E2C40" w:rsidP="00ED6843">
            <w:pPr>
              <w:spacing w:before="60" w:after="60"/>
              <w:jc w:val="both"/>
              <w:rPr>
                <w:rFonts w:cs="Times New Roman"/>
                <w:b/>
                <w:szCs w:val="24"/>
                <w:lang w:val="lt-LT"/>
              </w:rPr>
            </w:pPr>
            <w:r w:rsidRPr="009E2C40">
              <w:rPr>
                <w:rFonts w:cs="Times New Roman"/>
                <w:b/>
                <w:szCs w:val="24"/>
                <w:lang w:val="lt-LT"/>
              </w:rPr>
              <w:t>Pastabos:</w:t>
            </w:r>
          </w:p>
          <w:p w14:paraId="00788BF4" w14:textId="77777777" w:rsidR="009E2C40" w:rsidRPr="009E2C40" w:rsidRDefault="009E2C40" w:rsidP="00ED6843">
            <w:pPr>
              <w:spacing w:before="60" w:after="60"/>
              <w:jc w:val="both"/>
              <w:rPr>
                <w:rFonts w:cs="Times New Roman"/>
                <w:bCs/>
                <w:i/>
                <w:szCs w:val="24"/>
                <w:lang w:val="lt-LT"/>
              </w:rPr>
            </w:pPr>
            <w:r w:rsidRPr="009E2C40">
              <w:rPr>
                <w:rFonts w:cs="Times New Roman"/>
                <w:bCs/>
                <w:i/>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B9DC631" w14:textId="77777777" w:rsidR="009E2C40" w:rsidRPr="009E2C40" w:rsidRDefault="009E2C40" w:rsidP="00ED6843">
            <w:pPr>
              <w:spacing w:before="60" w:after="60"/>
              <w:jc w:val="both"/>
              <w:rPr>
                <w:rFonts w:cs="Times New Roman"/>
                <w:i/>
                <w:szCs w:val="24"/>
                <w:lang w:val="lt-LT"/>
              </w:rPr>
            </w:pPr>
            <w:r w:rsidRPr="009E2C40">
              <w:rPr>
                <w:rFonts w:cs="Times New Roman"/>
                <w:bCs/>
                <w:i/>
                <w:szCs w:val="24"/>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9E2C40">
              <w:rPr>
                <w:rFonts w:cs="Times New Roman"/>
                <w:i/>
                <w:szCs w:val="24"/>
                <w:lang w:val="lt-LT"/>
              </w:rPr>
              <w:t>.</w:t>
            </w:r>
          </w:p>
          <w:p w14:paraId="5EC90244" w14:textId="77777777" w:rsidR="009E2C40" w:rsidRPr="009E2C40" w:rsidRDefault="009E2C40" w:rsidP="00ED6843">
            <w:pPr>
              <w:spacing w:before="60" w:after="60"/>
              <w:jc w:val="both"/>
              <w:rPr>
                <w:rFonts w:cs="Times New Roman"/>
                <w:b/>
                <w:szCs w:val="24"/>
                <w:lang w:val="lt-LT"/>
              </w:rPr>
            </w:pPr>
            <w:r w:rsidRPr="009E2C40">
              <w:rPr>
                <w:rFonts w:cs="Times New Roman"/>
                <w:b/>
                <w:i/>
                <w:szCs w:val="24"/>
                <w:lang w:val="lt-LT"/>
              </w:rPr>
              <w:t xml:space="preserve">*** </w:t>
            </w:r>
            <w:r w:rsidRPr="009E2C40">
              <w:rPr>
                <w:rFonts w:cs="Times New Roman"/>
                <w:bCs/>
                <w:i/>
                <w:szCs w:val="24"/>
                <w:lang w:val="lt-LT"/>
              </w:rPr>
              <w:t>Konkrečiam pirkimui teikti nereikia, jei DPS sukūrimo p</w:t>
            </w:r>
            <w:r w:rsidRPr="009E2C40">
              <w:rPr>
                <w:rFonts w:eastAsia="Arial" w:cs="Times New Roman"/>
                <w:bCs/>
                <w:i/>
                <w:color w:val="000000"/>
                <w:szCs w:val="24"/>
                <w:lang w:val="lt-LT"/>
              </w:rPr>
              <w:t xml:space="preserve">irkimui (seno CVPIS Nr. </w:t>
            </w:r>
            <w:hyperlink r:id="rId11" w:history="1">
              <w:r w:rsidRPr="009E2C40">
                <w:rPr>
                  <w:rFonts w:eastAsia="Arial" w:cs="Times New Roman"/>
                  <w:bCs/>
                  <w:i/>
                  <w:color w:val="0000FF"/>
                  <w:szCs w:val="24"/>
                  <w:u w:val="single"/>
                  <w:lang w:val="lt-LT"/>
                </w:rPr>
                <w:t>697161</w:t>
              </w:r>
            </w:hyperlink>
            <w:r w:rsidRPr="009E2C40">
              <w:rPr>
                <w:rFonts w:eastAsia="Arial" w:cs="Times New Roman"/>
                <w:bCs/>
                <w:i/>
                <w:color w:val="0000FF"/>
                <w:szCs w:val="24"/>
                <w:u w:val="single"/>
              </w:rPr>
              <w:t>)</w:t>
            </w:r>
            <w:r w:rsidRPr="009E2C40">
              <w:rPr>
                <w:rFonts w:cs="Times New Roman"/>
                <w:bCs/>
                <w:i/>
                <w:szCs w:val="24"/>
                <w:lang w:val="lt-LT"/>
              </w:rPr>
              <w:t xml:space="preserve">, </w:t>
            </w:r>
            <w:r w:rsidRPr="009E2C40">
              <w:rPr>
                <w:rFonts w:cs="Times New Roman"/>
                <w:b/>
                <w:i/>
                <w:szCs w:val="24"/>
                <w:lang w:val="lt-LT"/>
              </w:rPr>
              <w:t>pirkimo ID - 195498,</w:t>
            </w:r>
            <w:r w:rsidRPr="009E2C40">
              <w:rPr>
                <w:rFonts w:cs="Times New Roman"/>
                <w:bCs/>
                <w:i/>
                <w:szCs w:val="24"/>
                <w:lang w:val="lt-LT"/>
              </w:rPr>
              <w:t xml:space="preserve"> Nacionalinio saugumo reikalavimų atitikties deklaracijoje (A dalies. DPS sukūrimas 7 priedas) nurodyta informacija yra nepasikeitusi.</w:t>
            </w:r>
          </w:p>
        </w:tc>
      </w:tr>
    </w:tbl>
    <w:p w14:paraId="335D8F9D" w14:textId="77777777" w:rsidR="009E2C40" w:rsidRPr="009E2C40" w:rsidRDefault="009E2C40" w:rsidP="009E2C40">
      <w:pPr>
        <w:ind w:firstLine="425"/>
        <w:jc w:val="both"/>
        <w:rPr>
          <w:rFonts w:cs="Times New Roman"/>
          <w:b/>
          <w:bCs/>
          <w:szCs w:val="24"/>
          <w:lang w:eastAsia="lt-LT"/>
        </w:rPr>
      </w:pPr>
    </w:p>
    <w:p w14:paraId="275B389A" w14:textId="77777777" w:rsidR="009E2C40" w:rsidRPr="009E2C40" w:rsidRDefault="009E2C40" w:rsidP="009E2C40">
      <w:pPr>
        <w:jc w:val="center"/>
        <w:rPr>
          <w:rFonts w:cs="Times New Roman"/>
          <w:b/>
          <w:bCs/>
          <w:szCs w:val="24"/>
          <w:lang w:eastAsia="lt-LT"/>
        </w:rPr>
      </w:pPr>
      <w:r w:rsidRPr="009E2C40">
        <w:rPr>
          <w:rFonts w:cs="Times New Roman"/>
          <w:b/>
          <w:bCs/>
          <w:szCs w:val="24"/>
          <w:lang w:eastAsia="lt-LT"/>
        </w:rPr>
        <w:t>4. APLINKOSAUGINIAI KRITERIJAI.</w:t>
      </w:r>
    </w:p>
    <w:tbl>
      <w:tblPr>
        <w:tblStyle w:val="Lentelstinklelis11"/>
        <w:tblW w:w="4930" w:type="pct"/>
        <w:tblInd w:w="0" w:type="dxa"/>
        <w:tblLook w:val="04A0" w:firstRow="1" w:lastRow="0" w:firstColumn="1" w:lastColumn="0" w:noHBand="0" w:noVBand="1"/>
      </w:tblPr>
      <w:tblGrid>
        <w:gridCol w:w="9493"/>
      </w:tblGrid>
      <w:tr w:rsidR="009E2C40" w:rsidRPr="009E2C40" w14:paraId="5177378C" w14:textId="77777777" w:rsidTr="00ED6843">
        <w:trPr>
          <w:trHeight w:val="16"/>
        </w:trPr>
        <w:tc>
          <w:tcPr>
            <w:tcW w:w="5000" w:type="pct"/>
            <w:tcBorders>
              <w:top w:val="single" w:sz="4" w:space="0" w:color="auto"/>
              <w:left w:val="single" w:sz="4" w:space="0" w:color="auto"/>
              <w:bottom w:val="single" w:sz="4" w:space="0" w:color="auto"/>
              <w:right w:val="single" w:sz="4" w:space="0" w:color="auto"/>
            </w:tcBorders>
          </w:tcPr>
          <w:p w14:paraId="7197391E" w14:textId="77777777" w:rsidR="009E2C40" w:rsidRPr="009E2C40" w:rsidRDefault="009E2C40" w:rsidP="00ED6843">
            <w:pPr>
              <w:spacing w:before="60" w:after="60"/>
              <w:jc w:val="both"/>
              <w:rPr>
                <w:rFonts w:cs="Times New Roman"/>
                <w:b/>
                <w:szCs w:val="24"/>
                <w:lang w:val="lt-LT"/>
              </w:rPr>
            </w:pPr>
            <w:r w:rsidRPr="009E2C40">
              <w:rPr>
                <w:rFonts w:cs="Times New Roman"/>
                <w:b/>
                <w:szCs w:val="24"/>
                <w:lang w:val="lt-LT"/>
              </w:rPr>
              <w:t>APLINKOSAUGINIAI KRITERIJAI</w:t>
            </w:r>
          </w:p>
        </w:tc>
      </w:tr>
      <w:tr w:rsidR="009E2C40" w:rsidRPr="009E2C40" w14:paraId="7FF38E20" w14:textId="77777777" w:rsidTr="00ED6843">
        <w:trPr>
          <w:trHeight w:val="16"/>
        </w:trPr>
        <w:tc>
          <w:tcPr>
            <w:tcW w:w="5000" w:type="pct"/>
            <w:tcBorders>
              <w:top w:val="single" w:sz="4" w:space="0" w:color="auto"/>
              <w:left w:val="single" w:sz="4" w:space="0" w:color="auto"/>
              <w:bottom w:val="single" w:sz="4" w:space="0" w:color="auto"/>
              <w:right w:val="single" w:sz="4" w:space="0" w:color="auto"/>
            </w:tcBorders>
          </w:tcPr>
          <w:p w14:paraId="659AD53E" w14:textId="77777777" w:rsidR="009E2C40" w:rsidRPr="009E2C40" w:rsidRDefault="009E2C40" w:rsidP="00ED6843">
            <w:pPr>
              <w:spacing w:before="60" w:after="60"/>
              <w:jc w:val="both"/>
              <w:rPr>
                <w:rFonts w:cs="Times New Roman"/>
                <w:b/>
                <w:szCs w:val="24"/>
                <w:lang w:val="lt-LT"/>
              </w:rPr>
            </w:pPr>
            <w:r w:rsidRPr="009E2C40">
              <w:rPr>
                <w:rFonts w:eastAsia="Yu Mincho" w:cs="Times New Roman"/>
                <w:szCs w:val="24"/>
                <w:lang w:val="lt-LT"/>
              </w:rPr>
              <w:t xml:space="preserve">Pirkimo objektas atitinka aplinkos apsaugos kriterijų taikymo, vykdant žaliuosius pirkimus, tvarkos aprašo, patvirtinto Lietuvos Respublikos aplinkos ministro 2011 m. birželio 28 d. įsakymu </w:t>
            </w:r>
            <w:r w:rsidRPr="009E2C40">
              <w:rPr>
                <w:rFonts w:eastAsia="Yu Mincho" w:cs="Times New Roman"/>
                <w:szCs w:val="24"/>
                <w:lang w:val="lt-LT"/>
              </w:rPr>
              <w:lastRenderedPageBreak/>
              <w:t>Nr. D1-508 „Dėl Aplinkos apsaugos kriterijų taikymo, vykdant žaliuosius pirkimus, tvarkos aprašo patvirtinimo“, 4.4.3 punkte nustatytą aplinkosauginį principą.</w:t>
            </w:r>
          </w:p>
        </w:tc>
      </w:tr>
    </w:tbl>
    <w:p w14:paraId="2139A00F" w14:textId="77777777" w:rsidR="008E3833" w:rsidRPr="00181405" w:rsidRDefault="008E3833" w:rsidP="0090499F">
      <w:pPr>
        <w:tabs>
          <w:tab w:val="left" w:pos="0"/>
          <w:tab w:val="center" w:pos="3544"/>
          <w:tab w:val="right" w:pos="8640"/>
        </w:tabs>
        <w:spacing w:after="0" w:line="240" w:lineRule="auto"/>
        <w:jc w:val="center"/>
        <w:rPr>
          <w:rFonts w:eastAsia="Calibri" w:cs="Times New Roman"/>
          <w:b/>
          <w:szCs w:val="24"/>
        </w:rPr>
      </w:pPr>
    </w:p>
    <w:p w14:paraId="4F870DB3" w14:textId="77777777" w:rsidR="001307F2" w:rsidRPr="00C9487C" w:rsidRDefault="001307F2" w:rsidP="00B71CE3">
      <w:pPr>
        <w:spacing w:after="0" w:line="240" w:lineRule="auto"/>
        <w:contextualSpacing/>
        <w:jc w:val="both"/>
        <w:rPr>
          <w:rFonts w:eastAsia="Calibri" w:cs="Times New Roman"/>
          <w:szCs w:val="24"/>
        </w:rPr>
      </w:pPr>
    </w:p>
    <w:tbl>
      <w:tblPr>
        <w:tblpPr w:leftFromText="180" w:rightFromText="180" w:vertAnchor="text" w:horzAnchor="margin" w:tblpY="116"/>
        <w:tblW w:w="9469" w:type="dxa"/>
        <w:tblLook w:val="0000" w:firstRow="0" w:lastRow="0" w:firstColumn="0" w:lastColumn="0" w:noHBand="0" w:noVBand="0"/>
      </w:tblPr>
      <w:tblGrid>
        <w:gridCol w:w="4706"/>
        <w:gridCol w:w="4763"/>
      </w:tblGrid>
      <w:tr w:rsidR="00785BF9" w:rsidRPr="00785BF9" w14:paraId="3F4F3680" w14:textId="77777777" w:rsidTr="00785BF9">
        <w:trPr>
          <w:trHeight w:val="2669"/>
        </w:trPr>
        <w:tc>
          <w:tcPr>
            <w:tcW w:w="4706" w:type="dxa"/>
          </w:tcPr>
          <w:p w14:paraId="28211F40" w14:textId="77777777" w:rsidR="00785BF9" w:rsidRPr="00785BF9" w:rsidRDefault="00785BF9" w:rsidP="00785BF9">
            <w:pPr>
              <w:tabs>
                <w:tab w:val="left" w:pos="9630"/>
              </w:tabs>
              <w:spacing w:after="0" w:line="240" w:lineRule="auto"/>
              <w:ind w:right="8"/>
              <w:rPr>
                <w:rFonts w:eastAsia="Times New Roman" w:cs="Times New Roman"/>
                <w:b/>
                <w:szCs w:val="24"/>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59F95508" w14:textId="41DCC1C4" w:rsidR="00785BF9" w:rsidRPr="00785BF9" w:rsidRDefault="006F5FAD" w:rsidP="00785BF9">
            <w:pPr>
              <w:tabs>
                <w:tab w:val="left" w:pos="720"/>
                <w:tab w:val="left" w:pos="1008"/>
                <w:tab w:val="left" w:pos="9630"/>
              </w:tabs>
              <w:spacing w:after="0" w:line="240" w:lineRule="auto"/>
              <w:ind w:right="8"/>
              <w:rPr>
                <w:rFonts w:eastAsia="Times New Roman" w:cs="Times New Roman"/>
                <w:szCs w:val="24"/>
              </w:rPr>
            </w:pPr>
            <w:r>
              <w:rPr>
                <w:rFonts w:eastAsia="Times New Roman" w:cs="Times New Roman"/>
                <w:b/>
                <w:szCs w:val="24"/>
              </w:rPr>
              <w:t>PIRKĖJAS</w:t>
            </w:r>
          </w:p>
          <w:p w14:paraId="4D3FFBFB" w14:textId="77777777" w:rsidR="00785BF9" w:rsidRPr="00C9099D" w:rsidRDefault="00785BF9" w:rsidP="00785BF9">
            <w:pPr>
              <w:spacing w:after="0" w:line="240" w:lineRule="auto"/>
              <w:rPr>
                <w:rFonts w:eastAsia="Times New Roman" w:cs="Times New Roman"/>
                <w:b/>
                <w:bCs/>
                <w:szCs w:val="24"/>
                <w:lang w:val="nb-NO"/>
              </w:rPr>
            </w:pPr>
            <w:r w:rsidRPr="00C9099D">
              <w:rPr>
                <w:rFonts w:eastAsia="Times New Roman" w:cs="Times New Roman"/>
                <w:b/>
                <w:bCs/>
                <w:szCs w:val="24"/>
                <w:lang w:val="nb-NO"/>
              </w:rPr>
              <w:t xml:space="preserve">Informatikos ir ryšių departamentas </w:t>
            </w:r>
          </w:p>
          <w:p w14:paraId="2AB2B17D" w14:textId="77777777" w:rsidR="00785BF9" w:rsidRPr="00C9099D" w:rsidRDefault="00785BF9" w:rsidP="00785BF9">
            <w:pPr>
              <w:spacing w:after="0" w:line="240" w:lineRule="auto"/>
              <w:rPr>
                <w:rFonts w:eastAsia="Times New Roman" w:cs="Times New Roman"/>
                <w:b/>
                <w:szCs w:val="24"/>
                <w:lang w:val="nb-NO"/>
              </w:rPr>
            </w:pPr>
            <w:r w:rsidRPr="00C9099D">
              <w:rPr>
                <w:rFonts w:eastAsia="Times New Roman" w:cs="Times New Roman"/>
                <w:b/>
                <w:bCs/>
                <w:szCs w:val="24"/>
                <w:lang w:val="nb-NO"/>
              </w:rPr>
              <w:t xml:space="preserve">prie </w:t>
            </w:r>
            <w:r w:rsidRPr="00C9099D">
              <w:rPr>
                <w:rFonts w:eastAsia="Times New Roman" w:cs="Times New Roman"/>
                <w:b/>
                <w:szCs w:val="24"/>
                <w:lang w:val="nb-NO"/>
              </w:rPr>
              <w:t xml:space="preserve">Lietuvos Respublikos vidaus reikalų ministerijos </w:t>
            </w:r>
          </w:p>
          <w:p w14:paraId="244FD211" w14:textId="77777777" w:rsidR="00785BF9" w:rsidRPr="00785BF9" w:rsidRDefault="00785BF9" w:rsidP="00785BF9">
            <w:pPr>
              <w:spacing w:after="0" w:line="240" w:lineRule="auto"/>
              <w:rPr>
                <w:rFonts w:eastAsia="Times New Roman" w:cs="Times New Roman"/>
                <w:szCs w:val="24"/>
              </w:rPr>
            </w:pPr>
          </w:p>
          <w:p w14:paraId="07166377" w14:textId="77777777" w:rsidR="00D71D81" w:rsidRDefault="00785BF9" w:rsidP="00785BF9">
            <w:pPr>
              <w:spacing w:after="0" w:line="240" w:lineRule="auto"/>
              <w:rPr>
                <w:rFonts w:eastAsia="Times New Roman" w:cs="Times New Roman"/>
                <w:szCs w:val="24"/>
              </w:rPr>
            </w:pPr>
            <w:r w:rsidRPr="00785BF9">
              <w:rPr>
                <w:rFonts w:eastAsia="Times New Roman" w:cs="Times New Roman"/>
                <w:szCs w:val="24"/>
              </w:rPr>
              <w:t>Direktorė</w:t>
            </w:r>
          </w:p>
          <w:p w14:paraId="253A9EDC" w14:textId="6D58EA03" w:rsidR="00785BF9" w:rsidRPr="00785BF9" w:rsidRDefault="00785BF9" w:rsidP="00785BF9">
            <w:pPr>
              <w:spacing w:after="0" w:line="240" w:lineRule="auto"/>
              <w:rPr>
                <w:rFonts w:eastAsia="Times New Roman" w:cs="Times New Roman"/>
                <w:szCs w:val="24"/>
              </w:rPr>
            </w:pPr>
            <w:r w:rsidRPr="00785BF9">
              <w:rPr>
                <w:rFonts w:eastAsia="Times New Roman" w:cs="Times New Roman"/>
                <w:szCs w:val="24"/>
              </w:rPr>
              <w:t xml:space="preserve">                                                                                                      </w:t>
            </w:r>
          </w:p>
          <w:p w14:paraId="26DAFB0E" w14:textId="77777777" w:rsidR="00785BF9" w:rsidRPr="00785BF9" w:rsidRDefault="00785BF9" w:rsidP="00C9099D">
            <w:pPr>
              <w:spacing w:after="0" w:line="240" w:lineRule="auto"/>
              <w:rPr>
                <w:rFonts w:eastAsia="Times New Roman" w:cs="Times New Roman"/>
                <w:szCs w:val="24"/>
              </w:rPr>
            </w:pPr>
          </w:p>
        </w:tc>
        <w:tc>
          <w:tcPr>
            <w:tcW w:w="4763" w:type="dxa"/>
          </w:tcPr>
          <w:p w14:paraId="39DE0D3F" w14:textId="77777777" w:rsidR="00785BF9" w:rsidRPr="00785BF9" w:rsidRDefault="00785BF9" w:rsidP="00785BF9">
            <w:pPr>
              <w:keepNext/>
              <w:tabs>
                <w:tab w:val="left" w:pos="9630"/>
              </w:tabs>
              <w:spacing w:after="0" w:line="240" w:lineRule="auto"/>
              <w:ind w:right="8"/>
              <w:jc w:val="both"/>
              <w:outlineLvl w:val="0"/>
              <w:rPr>
                <w:rFonts w:eastAsia="Arial Unicode MS" w:cs="Times New Roman"/>
                <w:b/>
                <w:bCs/>
                <w:szCs w:val="24"/>
              </w:rPr>
            </w:pPr>
          </w:p>
          <w:p w14:paraId="16AEF677" w14:textId="6C1667E7" w:rsidR="00785BF9" w:rsidRPr="00785BF9" w:rsidRDefault="00785BF9" w:rsidP="00785BF9">
            <w:pPr>
              <w:keepNext/>
              <w:tabs>
                <w:tab w:val="left" w:pos="9630"/>
              </w:tabs>
              <w:spacing w:after="0" w:line="240" w:lineRule="auto"/>
              <w:ind w:right="8"/>
              <w:jc w:val="both"/>
              <w:outlineLvl w:val="0"/>
              <w:rPr>
                <w:rFonts w:eastAsia="Arial Unicode MS" w:cs="Times New Roman"/>
                <w:b/>
                <w:bCs/>
                <w:szCs w:val="24"/>
              </w:rPr>
            </w:pPr>
            <w:r w:rsidRPr="00785BF9">
              <w:rPr>
                <w:rFonts w:eastAsia="Arial Unicode MS" w:cs="Times New Roman"/>
                <w:b/>
                <w:bCs/>
                <w:szCs w:val="24"/>
              </w:rPr>
              <w:t>T</w:t>
            </w:r>
            <w:r w:rsidR="006F5FAD">
              <w:rPr>
                <w:rFonts w:eastAsia="Arial Unicode MS" w:cs="Times New Roman"/>
                <w:b/>
                <w:bCs/>
                <w:szCs w:val="24"/>
              </w:rPr>
              <w:t>I</w:t>
            </w:r>
            <w:r w:rsidRPr="00785BF9">
              <w:rPr>
                <w:rFonts w:eastAsia="Arial Unicode MS" w:cs="Times New Roman"/>
                <w:b/>
                <w:bCs/>
                <w:szCs w:val="24"/>
              </w:rPr>
              <w:t>EKĖJAS</w:t>
            </w:r>
          </w:p>
          <w:p w14:paraId="5131FF22" w14:textId="77777777" w:rsidR="00785BF9" w:rsidRPr="00785BF9" w:rsidRDefault="00785BF9" w:rsidP="00785BF9">
            <w:pPr>
              <w:tabs>
                <w:tab w:val="left" w:pos="9630"/>
              </w:tabs>
              <w:spacing w:after="0" w:line="240" w:lineRule="auto"/>
              <w:ind w:right="8"/>
              <w:jc w:val="both"/>
              <w:rPr>
                <w:rFonts w:eastAsia="Times New Roman" w:cs="Times New Roman"/>
                <w:b/>
                <w:szCs w:val="24"/>
                <w:lang w:eastAsia="lt-LT"/>
              </w:rPr>
            </w:pPr>
          </w:p>
          <w:p w14:paraId="06159545" w14:textId="18245BA7" w:rsidR="00785BF9" w:rsidRPr="00785BF9" w:rsidRDefault="00785BF9" w:rsidP="00785BF9">
            <w:pPr>
              <w:spacing w:after="0" w:line="240" w:lineRule="auto"/>
              <w:rPr>
                <w:rFonts w:eastAsia="Times New Roman" w:cs="Times New Roman"/>
                <w:szCs w:val="24"/>
              </w:rPr>
            </w:pPr>
            <w:r w:rsidRPr="00785BF9">
              <w:rPr>
                <w:rFonts w:eastAsia="Times New Roman" w:cs="Times New Roman"/>
                <w:b/>
                <w:bCs/>
                <w:iCs/>
                <w:szCs w:val="24"/>
              </w:rPr>
              <w:t>„Blue Bridge MSP“</w:t>
            </w:r>
            <w:r w:rsidR="006F5FAD">
              <w:rPr>
                <w:rFonts w:eastAsia="Times New Roman" w:cs="Times New Roman"/>
                <w:b/>
                <w:bCs/>
                <w:iCs/>
                <w:szCs w:val="24"/>
              </w:rPr>
              <w:t xml:space="preserve">, </w:t>
            </w:r>
            <w:r w:rsidR="006F5FAD" w:rsidRPr="00785BF9">
              <w:rPr>
                <w:rFonts w:eastAsia="Times New Roman" w:cs="Times New Roman"/>
                <w:b/>
                <w:bCs/>
                <w:iCs/>
                <w:szCs w:val="24"/>
              </w:rPr>
              <w:t>UAB</w:t>
            </w:r>
          </w:p>
          <w:p w14:paraId="050C2A59" w14:textId="77777777" w:rsidR="00785BF9" w:rsidRPr="00785BF9" w:rsidRDefault="00785BF9" w:rsidP="00785BF9">
            <w:pPr>
              <w:tabs>
                <w:tab w:val="left" w:pos="720"/>
              </w:tabs>
              <w:spacing w:after="0" w:line="240" w:lineRule="auto"/>
              <w:rPr>
                <w:rFonts w:eastAsia="Times New Roman" w:cs="Times New Roman"/>
                <w:bCs/>
                <w:szCs w:val="24"/>
              </w:rPr>
            </w:pPr>
          </w:p>
          <w:p w14:paraId="17D6BDC3" w14:textId="77777777" w:rsidR="00785BF9" w:rsidRPr="00785BF9" w:rsidRDefault="00785BF9" w:rsidP="00785BF9">
            <w:pPr>
              <w:spacing w:after="0" w:line="240" w:lineRule="auto"/>
              <w:rPr>
                <w:rFonts w:eastAsia="Times New Roman" w:cs="Times New Roman"/>
                <w:color w:val="000000"/>
                <w:szCs w:val="24"/>
              </w:rPr>
            </w:pPr>
          </w:p>
          <w:p w14:paraId="55FE2CB5" w14:textId="77777777" w:rsidR="00D71D81" w:rsidRDefault="00DA5FDF" w:rsidP="00785BF9">
            <w:pPr>
              <w:spacing w:after="0" w:line="240" w:lineRule="auto"/>
              <w:rPr>
                <w:rFonts w:eastAsia="Times New Roman" w:cs="Times New Roman"/>
                <w:szCs w:val="24"/>
              </w:rPr>
            </w:pPr>
            <w:r>
              <w:rPr>
                <w:rFonts w:eastAsia="Times New Roman" w:cs="Times New Roman"/>
                <w:szCs w:val="24"/>
              </w:rPr>
              <w:t>Komercijos</w:t>
            </w:r>
            <w:r w:rsidR="00785BF9" w:rsidRPr="00785BF9">
              <w:rPr>
                <w:rFonts w:eastAsia="Times New Roman" w:cs="Times New Roman"/>
                <w:szCs w:val="24"/>
              </w:rPr>
              <w:t xml:space="preserve"> direktorius  </w:t>
            </w:r>
          </w:p>
          <w:p w14:paraId="243AAA13" w14:textId="7A422123" w:rsidR="00785BF9" w:rsidRPr="00785BF9" w:rsidRDefault="00785BF9" w:rsidP="00785BF9">
            <w:pPr>
              <w:spacing w:after="0" w:line="240" w:lineRule="auto"/>
              <w:rPr>
                <w:rFonts w:eastAsia="Times New Roman" w:cs="Times New Roman"/>
                <w:szCs w:val="24"/>
              </w:rPr>
            </w:pPr>
            <w:r w:rsidRPr="00785BF9">
              <w:rPr>
                <w:rFonts w:eastAsia="Times New Roman" w:cs="Times New Roman"/>
                <w:szCs w:val="24"/>
              </w:rPr>
              <w:t xml:space="preserve">                                                                             </w:t>
            </w:r>
          </w:p>
          <w:p w14:paraId="56B02A2F" w14:textId="77777777" w:rsidR="00785BF9" w:rsidRPr="00785BF9" w:rsidRDefault="00785BF9" w:rsidP="00C9099D">
            <w:pPr>
              <w:tabs>
                <w:tab w:val="left" w:pos="9630"/>
              </w:tabs>
              <w:spacing w:after="0" w:line="240" w:lineRule="auto"/>
              <w:rPr>
                <w:rFonts w:eastAsia="Times New Roman" w:cs="Times New Roman"/>
                <w:i/>
                <w:szCs w:val="24"/>
              </w:rPr>
            </w:pPr>
          </w:p>
        </w:tc>
      </w:tr>
    </w:tbl>
    <w:p w14:paraId="1D846733" w14:textId="2E80E5DC" w:rsidR="00CB04FC" w:rsidRPr="00785BF9" w:rsidRDefault="001F4A03" w:rsidP="00785BF9">
      <w:pPr>
        <w:pStyle w:val="Paprastasistekstas"/>
        <w:rPr>
          <w:rFonts w:eastAsia="Calibri" w:cs="Times New Roman"/>
          <w:b/>
        </w:rPr>
      </w:pPr>
      <w:r>
        <w:rPr>
          <w:rFonts w:ascii="Times New Roman" w:hAnsi="Times New Roman" w:cs="Times New Roman"/>
          <w:sz w:val="24"/>
          <w:szCs w:val="24"/>
          <w:lang w:val="lt-LT"/>
        </w:rPr>
        <w:t xml:space="preserve">       </w:t>
      </w:r>
      <w:bookmarkEnd w:id="14"/>
    </w:p>
    <w:p w14:paraId="6D00923B" w14:textId="77777777" w:rsidR="00785BF9" w:rsidRPr="00B13F68" w:rsidRDefault="00785BF9">
      <w:pPr>
        <w:tabs>
          <w:tab w:val="left" w:pos="567"/>
          <w:tab w:val="left" w:pos="1089"/>
        </w:tabs>
        <w:spacing w:before="40" w:after="40"/>
        <w:rPr>
          <w:rFonts w:eastAsia="Calibri" w:cs="Times New Roman"/>
          <w:szCs w:val="24"/>
        </w:rPr>
      </w:pPr>
    </w:p>
    <w:sectPr w:rsidR="00785BF9" w:rsidRPr="00B13F68" w:rsidSect="00CC4345">
      <w:headerReference w:type="default" r:id="rId12"/>
      <w:footerReference w:type="default" r:id="rId13"/>
      <w:pgSz w:w="11906" w:h="16838"/>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97EEA" w14:textId="77777777" w:rsidR="001E27DA" w:rsidRDefault="001E27DA">
      <w:pPr>
        <w:spacing w:after="0" w:line="240" w:lineRule="auto"/>
      </w:pPr>
      <w:r>
        <w:separator/>
      </w:r>
    </w:p>
  </w:endnote>
  <w:endnote w:type="continuationSeparator" w:id="0">
    <w:p w14:paraId="6A38C1E7" w14:textId="77777777" w:rsidR="001E27DA" w:rsidRDefault="001E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BA"/>
    <w:family w:val="roman"/>
    <w:pitch w:val="variable"/>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B4BB" w14:textId="54D3DB78" w:rsidR="00001586" w:rsidRPr="008E7A03" w:rsidRDefault="00000000" w:rsidP="00001586">
    <w:pPr>
      <w:pStyle w:val="Porat"/>
      <w:jc w:val="right"/>
    </w:pPr>
    <w:sdt>
      <w:sdtPr>
        <w:id w:val="130378870"/>
        <w:docPartObj>
          <w:docPartGallery w:val="Page Numbers (Top of Page)"/>
          <w:docPartUnique/>
        </w:docPartObj>
      </w:sdtPr>
      <w:sdtEndPr>
        <w:rPr>
          <w:rFonts w:ascii="Tahoma" w:hAnsi="Tahoma" w:cs="Tahoma"/>
          <w:sz w:val="22"/>
        </w:rPr>
      </w:sdtEndPr>
      <w:sdtContent>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PAGE</w:instrText>
        </w:r>
        <w:r w:rsidR="00001586" w:rsidRPr="007C08D2">
          <w:rPr>
            <w:rFonts w:ascii="Calibri Light" w:hAnsi="Calibri Light" w:cs="Calibri Light"/>
            <w:bCs/>
            <w:sz w:val="20"/>
            <w:szCs w:val="20"/>
          </w:rPr>
          <w:fldChar w:fldCharType="separate"/>
        </w:r>
        <w:r w:rsidR="002D014A">
          <w:rPr>
            <w:rFonts w:ascii="Calibri Light" w:hAnsi="Calibri Light" w:cs="Calibri Light"/>
            <w:bCs/>
            <w:noProof/>
            <w:sz w:val="20"/>
            <w:szCs w:val="20"/>
          </w:rPr>
          <w:t>7</w:t>
        </w:r>
        <w:r w:rsidR="00001586" w:rsidRPr="007C08D2">
          <w:rPr>
            <w:rFonts w:ascii="Calibri Light" w:hAnsi="Calibri Light" w:cs="Calibri Light"/>
            <w:bCs/>
            <w:sz w:val="20"/>
            <w:szCs w:val="20"/>
          </w:rPr>
          <w:fldChar w:fldCharType="end"/>
        </w:r>
        <w:r w:rsidR="00001586" w:rsidRPr="007C08D2">
          <w:rPr>
            <w:rFonts w:ascii="Calibri Light" w:hAnsi="Calibri Light" w:cs="Calibri Light"/>
            <w:sz w:val="20"/>
            <w:szCs w:val="20"/>
          </w:rPr>
          <w:t>/</w:t>
        </w:r>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NUMPAGES</w:instrText>
        </w:r>
        <w:r w:rsidR="00001586" w:rsidRPr="007C08D2">
          <w:rPr>
            <w:rFonts w:ascii="Calibri Light" w:hAnsi="Calibri Light" w:cs="Calibri Light"/>
            <w:bCs/>
            <w:sz w:val="20"/>
            <w:szCs w:val="20"/>
          </w:rPr>
          <w:fldChar w:fldCharType="separate"/>
        </w:r>
        <w:r w:rsidR="002D014A">
          <w:rPr>
            <w:rFonts w:ascii="Calibri Light" w:hAnsi="Calibri Light" w:cs="Calibri Light"/>
            <w:bCs/>
            <w:noProof/>
            <w:sz w:val="20"/>
            <w:szCs w:val="20"/>
          </w:rPr>
          <w:t>7</w:t>
        </w:r>
        <w:r w:rsidR="00001586" w:rsidRPr="007C08D2">
          <w:rPr>
            <w:rFonts w:ascii="Calibri Light" w:hAnsi="Calibri Light" w:cs="Calibri Light"/>
            <w:bCs/>
            <w:sz w:val="20"/>
            <w:szCs w:val="20"/>
          </w:rPr>
          <w:fldChar w:fldCharType="end"/>
        </w:r>
      </w:sdtContent>
    </w:sdt>
  </w:p>
  <w:p w14:paraId="75103229" w14:textId="77777777" w:rsidR="00001586" w:rsidRDefault="000015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A9BE" w14:textId="77777777" w:rsidR="001E27DA" w:rsidRDefault="001E27DA">
      <w:pPr>
        <w:spacing w:after="0" w:line="240" w:lineRule="auto"/>
      </w:pPr>
      <w:r>
        <w:separator/>
      </w:r>
    </w:p>
  </w:footnote>
  <w:footnote w:type="continuationSeparator" w:id="0">
    <w:p w14:paraId="76BFA705" w14:textId="77777777" w:rsidR="001E27DA" w:rsidRDefault="001E2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676109"/>
      <w:docPartObj>
        <w:docPartGallery w:val="Page Numbers (Top of Page)"/>
        <w:docPartUnique/>
      </w:docPartObj>
    </w:sdtPr>
    <w:sdtContent>
      <w:p w14:paraId="350CACCD" w14:textId="5562D128" w:rsidR="00CC4345" w:rsidRDefault="00CC4345">
        <w:pPr>
          <w:pStyle w:val="Antrats"/>
          <w:jc w:val="center"/>
        </w:pPr>
        <w:r>
          <w:fldChar w:fldCharType="begin"/>
        </w:r>
        <w:r>
          <w:instrText>PAGE   \* MERGEFORMAT</w:instrText>
        </w:r>
        <w:r>
          <w:fldChar w:fldCharType="separate"/>
        </w:r>
        <w:r w:rsidR="002D014A">
          <w:rPr>
            <w:noProof/>
          </w:rPr>
          <w:t>7</w:t>
        </w:r>
        <w:r>
          <w:fldChar w:fldCharType="end"/>
        </w:r>
      </w:p>
    </w:sdtContent>
  </w:sdt>
  <w:p w14:paraId="302CBC9A" w14:textId="233E971A" w:rsidR="00A31E42" w:rsidRPr="00BD1D79" w:rsidRDefault="00A31E42"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1"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A8C59E8"/>
    <w:multiLevelType w:val="multilevel"/>
    <w:tmpl w:val="CD9203A6"/>
    <w:lvl w:ilvl="0">
      <w:start w:val="12"/>
      <w:numFmt w:val="decimal"/>
      <w:lvlText w:val="%1."/>
      <w:lvlJc w:val="left"/>
      <w:pPr>
        <w:ind w:left="480" w:hanging="480"/>
      </w:pPr>
      <w:rPr>
        <w:rFonts w:hint="default"/>
      </w:rPr>
    </w:lvl>
    <w:lvl w:ilvl="1">
      <w:start w:val="4"/>
      <w:numFmt w:val="decimal"/>
      <w:lvlText w:val="%1.%2."/>
      <w:lvlJc w:val="left"/>
      <w:pPr>
        <w:ind w:left="957" w:hanging="48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465" w:hanging="108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4779" w:hanging="1440"/>
      </w:pPr>
      <w:rPr>
        <w:rFonts w:hint="default"/>
      </w:rPr>
    </w:lvl>
    <w:lvl w:ilvl="8">
      <w:start w:val="1"/>
      <w:numFmt w:val="decimal"/>
      <w:lvlText w:val="%1.%2.%3.%4.%5.%6.%7.%8.%9."/>
      <w:lvlJc w:val="left"/>
      <w:pPr>
        <w:ind w:left="5616" w:hanging="1800"/>
      </w:pPr>
      <w:rPr>
        <w:rFonts w:hint="default"/>
      </w:rPr>
    </w:lvl>
  </w:abstractNum>
  <w:abstractNum w:abstractNumId="3" w15:restartNumberingAfterBreak="0">
    <w:nsid w:val="0B197444"/>
    <w:multiLevelType w:val="multilevel"/>
    <w:tmpl w:val="39829E0C"/>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4" w15:restartNumberingAfterBreak="0">
    <w:nsid w:val="0FBE261C"/>
    <w:multiLevelType w:val="multilevel"/>
    <w:tmpl w:val="716E0C04"/>
    <w:lvl w:ilvl="0">
      <w:start w:val="10"/>
      <w:numFmt w:val="decimal"/>
      <w:lvlText w:val="%1."/>
      <w:lvlJc w:val="left"/>
      <w:pPr>
        <w:ind w:left="435" w:hanging="435"/>
      </w:pPr>
      <w:rPr>
        <w:rFonts w:hint="default"/>
      </w:rPr>
    </w:lvl>
    <w:lvl w:ilvl="1">
      <w:start w:val="1"/>
      <w:numFmt w:val="decimal"/>
      <w:lvlText w:val="%1.%2."/>
      <w:lvlJc w:val="left"/>
      <w:pPr>
        <w:ind w:left="780" w:hanging="43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5" w15:restartNumberingAfterBreak="0">
    <w:nsid w:val="15D83461"/>
    <w:multiLevelType w:val="hybridMultilevel"/>
    <w:tmpl w:val="57F8221E"/>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9F6569"/>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424DB2"/>
    <w:multiLevelType w:val="multilevel"/>
    <w:tmpl w:val="6B06512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color w:val="000000"/>
      </w:rPr>
    </w:lvl>
    <w:lvl w:ilvl="2">
      <w:start w:val="1"/>
      <w:numFmt w:val="decimal"/>
      <w:isLgl/>
      <w:lvlText w:val="%1.%2.%3."/>
      <w:lvlJc w:val="left"/>
      <w:pPr>
        <w:ind w:left="2214" w:hanging="720"/>
      </w:pPr>
      <w:rPr>
        <w:rFonts w:hint="default"/>
        <w:b/>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8" w15:restartNumberingAfterBreak="0">
    <w:nsid w:val="1C9A747D"/>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32B83"/>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0" w15:restartNumberingAfterBreak="0">
    <w:nsid w:val="24F80548"/>
    <w:multiLevelType w:val="multilevel"/>
    <w:tmpl w:val="9F0C0D6E"/>
    <w:lvl w:ilvl="0">
      <w:start w:val="1"/>
      <w:numFmt w:val="decimal"/>
      <w:suff w:val="space"/>
      <w:lvlText w:val="%1."/>
      <w:lvlJc w:val="left"/>
      <w:pPr>
        <w:ind w:left="927"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B52D91"/>
    <w:multiLevelType w:val="multilevel"/>
    <w:tmpl w:val="BEA2DFC2"/>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bullet"/>
      <w:lvlText w:val=""/>
      <w:lvlJc w:val="left"/>
      <w:pPr>
        <w:ind w:left="1746" w:hanging="720"/>
      </w:pPr>
      <w:rPr>
        <w:rFonts w:ascii="Symbol" w:hAnsi="Symbol" w:hint="default"/>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12" w15:restartNumberingAfterBreak="0">
    <w:nsid w:val="27477B62"/>
    <w:multiLevelType w:val="multilevel"/>
    <w:tmpl w:val="3C5E5CBE"/>
    <w:lvl w:ilvl="0">
      <w:start w:val="1"/>
      <w:numFmt w:val="decimal"/>
      <w:lvlText w:val="%1."/>
      <w:lvlJc w:val="left"/>
      <w:pPr>
        <w:tabs>
          <w:tab w:val="num" w:pos="0"/>
        </w:tabs>
        <w:ind w:left="720" w:hanging="360"/>
      </w:pPr>
    </w:lvl>
    <w:lvl w:ilvl="1">
      <w:start w:val="1"/>
      <w:numFmt w:val="decimal"/>
      <w:lvlText w:val="%1.%2."/>
      <w:lvlJc w:val="left"/>
      <w:pPr>
        <w:tabs>
          <w:tab w:val="num" w:pos="0"/>
        </w:tabs>
        <w:ind w:left="360" w:hanging="360"/>
      </w:pPr>
      <w:rPr>
        <w:b w:val="0"/>
        <w:bCs/>
        <w:i w:val="0"/>
        <w:color w:val="000000"/>
      </w:rPr>
    </w:lvl>
    <w:lvl w:ilvl="2">
      <w:start w:val="1"/>
      <w:numFmt w:val="decimal"/>
      <w:lvlText w:val="%1.%2.%3."/>
      <w:lvlJc w:val="left"/>
      <w:pPr>
        <w:tabs>
          <w:tab w:val="num" w:pos="0"/>
        </w:tabs>
        <w:ind w:left="2214" w:hanging="720"/>
      </w:pPr>
      <w:rPr>
        <w:b/>
        <w:i w:val="0"/>
        <w:color w:val="000000"/>
      </w:rPr>
    </w:lvl>
    <w:lvl w:ilvl="3">
      <w:start w:val="1"/>
      <w:numFmt w:val="decimal"/>
      <w:lvlText w:val="%1.%2.%3.%4."/>
      <w:lvlJc w:val="left"/>
      <w:pPr>
        <w:tabs>
          <w:tab w:val="num" w:pos="0"/>
        </w:tabs>
        <w:ind w:left="2781" w:hanging="720"/>
      </w:pPr>
      <w:rPr>
        <w:b/>
        <w:i w:val="0"/>
        <w:color w:val="000000"/>
      </w:rPr>
    </w:lvl>
    <w:lvl w:ilvl="4">
      <w:start w:val="1"/>
      <w:numFmt w:val="decimal"/>
      <w:lvlText w:val="%1.%2.%3.%4.%5."/>
      <w:lvlJc w:val="left"/>
      <w:pPr>
        <w:tabs>
          <w:tab w:val="num" w:pos="0"/>
        </w:tabs>
        <w:ind w:left="3708" w:hanging="1080"/>
      </w:pPr>
      <w:rPr>
        <w:b/>
        <w:i w:val="0"/>
        <w:color w:val="000000"/>
      </w:rPr>
    </w:lvl>
    <w:lvl w:ilvl="5">
      <w:start w:val="1"/>
      <w:numFmt w:val="decimal"/>
      <w:lvlText w:val="%1.%2.%3.%4.%5.%6."/>
      <w:lvlJc w:val="left"/>
      <w:pPr>
        <w:tabs>
          <w:tab w:val="num" w:pos="0"/>
        </w:tabs>
        <w:ind w:left="4275" w:hanging="1080"/>
      </w:pPr>
      <w:rPr>
        <w:b/>
        <w:i w:val="0"/>
        <w:color w:val="000000"/>
      </w:rPr>
    </w:lvl>
    <w:lvl w:ilvl="6">
      <w:start w:val="1"/>
      <w:numFmt w:val="decimal"/>
      <w:lvlText w:val="%1.%2.%3.%4.%5.%6.%7."/>
      <w:lvlJc w:val="left"/>
      <w:pPr>
        <w:tabs>
          <w:tab w:val="num" w:pos="0"/>
        </w:tabs>
        <w:ind w:left="5202" w:hanging="1440"/>
      </w:pPr>
      <w:rPr>
        <w:b/>
        <w:i w:val="0"/>
        <w:color w:val="000000"/>
      </w:rPr>
    </w:lvl>
    <w:lvl w:ilvl="7">
      <w:start w:val="1"/>
      <w:numFmt w:val="decimal"/>
      <w:lvlText w:val="%1.%2.%3.%4.%5.%6.%7.%8."/>
      <w:lvlJc w:val="left"/>
      <w:pPr>
        <w:tabs>
          <w:tab w:val="num" w:pos="0"/>
        </w:tabs>
        <w:ind w:left="5769" w:hanging="1440"/>
      </w:pPr>
      <w:rPr>
        <w:b/>
        <w:i w:val="0"/>
        <w:color w:val="000000"/>
      </w:rPr>
    </w:lvl>
    <w:lvl w:ilvl="8">
      <w:start w:val="1"/>
      <w:numFmt w:val="decimal"/>
      <w:lvlText w:val="%1.%2.%3.%4.%5.%6.%7.%8.%9."/>
      <w:lvlJc w:val="left"/>
      <w:pPr>
        <w:tabs>
          <w:tab w:val="num" w:pos="0"/>
        </w:tabs>
        <w:ind w:left="6696" w:hanging="1800"/>
      </w:pPr>
      <w:rPr>
        <w:b/>
        <w:i w:val="0"/>
        <w:color w:val="000000"/>
      </w:rPr>
    </w:lvl>
  </w:abstractNum>
  <w:abstractNum w:abstractNumId="13" w15:restartNumberingAfterBreak="0">
    <w:nsid w:val="3444405A"/>
    <w:multiLevelType w:val="hybridMultilevel"/>
    <w:tmpl w:val="D7B27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372B26"/>
    <w:multiLevelType w:val="hybridMultilevel"/>
    <w:tmpl w:val="8AB01E98"/>
    <w:lvl w:ilvl="0" w:tplc="C9F0963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3DFA4F5B"/>
    <w:multiLevelType w:val="hybridMultilevel"/>
    <w:tmpl w:val="2600280E"/>
    <w:lvl w:ilvl="0" w:tplc="E60AB6A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D20C3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CC316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5C9B2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94693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7CB94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46586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249D4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3EC5D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FE628B2"/>
    <w:multiLevelType w:val="hybridMultilevel"/>
    <w:tmpl w:val="6F3A7630"/>
    <w:lvl w:ilvl="0" w:tplc="C8A03D3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9D2C4DA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37A6917"/>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18" w15:restartNumberingAfterBreak="0">
    <w:nsid w:val="44414248"/>
    <w:multiLevelType w:val="multilevel"/>
    <w:tmpl w:val="A88A4BB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B62636"/>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20" w15:restartNumberingAfterBreak="0">
    <w:nsid w:val="46434E9C"/>
    <w:multiLevelType w:val="hybridMultilevel"/>
    <w:tmpl w:val="084EF5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CB5718B"/>
    <w:multiLevelType w:val="hybridMultilevel"/>
    <w:tmpl w:val="E8465EB0"/>
    <w:lvl w:ilvl="0" w:tplc="20FA9E7A">
      <w:start w:val="1"/>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abstractNum w:abstractNumId="23" w15:restartNumberingAfterBreak="0">
    <w:nsid w:val="51236AA6"/>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CB1F3E"/>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25" w15:restartNumberingAfterBreak="0">
    <w:nsid w:val="534A7809"/>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1430C6"/>
    <w:multiLevelType w:val="multilevel"/>
    <w:tmpl w:val="A604880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6D065D4C"/>
    <w:multiLevelType w:val="hybridMultilevel"/>
    <w:tmpl w:val="41DC2B3E"/>
    <w:lvl w:ilvl="0" w:tplc="5122EEE4">
      <w:start w:val="1"/>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6E7F59C4"/>
    <w:multiLevelType w:val="multilevel"/>
    <w:tmpl w:val="41888D9E"/>
    <w:lvl w:ilvl="0">
      <w:start w:val="1"/>
      <w:numFmt w:val="decimal"/>
      <w:lvlText w:val="%1."/>
      <w:lvlJc w:val="left"/>
      <w:pPr>
        <w:ind w:left="420" w:hanging="420"/>
      </w:pPr>
      <w:rPr>
        <w:rFonts w:hint="default"/>
      </w:rPr>
    </w:lvl>
    <w:lvl w:ilvl="1">
      <w:start w:val="1"/>
      <w:numFmt w:val="decimal"/>
      <w:lvlText w:val="%1.%2."/>
      <w:lvlJc w:val="left"/>
      <w:pPr>
        <w:ind w:left="933" w:hanging="420"/>
      </w:pPr>
      <w:rPr>
        <w:rFonts w:ascii="Times New Roman" w:hAnsi="Times New Roman" w:cs="Times New Roman" w:hint="default"/>
        <w:b w:val="0"/>
        <w:sz w:val="24"/>
        <w:szCs w:val="24"/>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29" w15:restartNumberingAfterBreak="0">
    <w:nsid w:val="6F526A48"/>
    <w:multiLevelType w:val="multilevel"/>
    <w:tmpl w:val="554A91D4"/>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bullet"/>
      <w:lvlText w:val=""/>
      <w:lvlJc w:val="left"/>
      <w:pPr>
        <w:ind w:left="1746" w:hanging="720"/>
      </w:pPr>
      <w:rPr>
        <w:rFonts w:ascii="Symbol" w:hAnsi="Symbol" w:hint="default"/>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30" w15:restartNumberingAfterBreak="0">
    <w:nsid w:val="70A71253"/>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CC6318"/>
    <w:multiLevelType w:val="hybridMultilevel"/>
    <w:tmpl w:val="DB7A6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1885346">
    <w:abstractNumId w:val="0"/>
  </w:num>
  <w:num w:numId="2" w16cid:durableId="1603341873">
    <w:abstractNumId w:val="1"/>
  </w:num>
  <w:num w:numId="3" w16cid:durableId="33968741">
    <w:abstractNumId w:val="17"/>
  </w:num>
  <w:num w:numId="4" w16cid:durableId="12197871">
    <w:abstractNumId w:val="2"/>
  </w:num>
  <w:num w:numId="5" w16cid:durableId="2107921993">
    <w:abstractNumId w:val="24"/>
  </w:num>
  <w:num w:numId="6" w16cid:durableId="1648898304">
    <w:abstractNumId w:val="13"/>
  </w:num>
  <w:num w:numId="7" w16cid:durableId="1958176086">
    <w:abstractNumId w:val="4"/>
  </w:num>
  <w:num w:numId="8" w16cid:durableId="1074821249">
    <w:abstractNumId w:val="9"/>
  </w:num>
  <w:num w:numId="9" w16cid:durableId="1287658918">
    <w:abstractNumId w:val="19"/>
  </w:num>
  <w:num w:numId="10" w16cid:durableId="897017367">
    <w:abstractNumId w:val="26"/>
  </w:num>
  <w:num w:numId="11" w16cid:durableId="1645310378">
    <w:abstractNumId w:val="8"/>
  </w:num>
  <w:num w:numId="12" w16cid:durableId="17394047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8030555">
    <w:abstractNumId w:val="23"/>
  </w:num>
  <w:num w:numId="14" w16cid:durableId="1217550548">
    <w:abstractNumId w:val="28"/>
  </w:num>
  <w:num w:numId="15" w16cid:durableId="683898625">
    <w:abstractNumId w:val="3"/>
  </w:num>
  <w:num w:numId="16" w16cid:durableId="1558129515">
    <w:abstractNumId w:val="15"/>
  </w:num>
  <w:num w:numId="17" w16cid:durableId="342435968">
    <w:abstractNumId w:val="29"/>
  </w:num>
  <w:num w:numId="18" w16cid:durableId="1106273400">
    <w:abstractNumId w:val="11"/>
  </w:num>
  <w:num w:numId="19" w16cid:durableId="1465854028">
    <w:abstractNumId w:val="7"/>
  </w:num>
  <w:num w:numId="20" w16cid:durableId="809322698">
    <w:abstractNumId w:val="14"/>
  </w:num>
  <w:num w:numId="21" w16cid:durableId="1109159986">
    <w:abstractNumId w:val="5"/>
  </w:num>
  <w:num w:numId="22" w16cid:durableId="752973736">
    <w:abstractNumId w:val="31"/>
  </w:num>
  <w:num w:numId="23" w16cid:durableId="1374118369">
    <w:abstractNumId w:val="27"/>
  </w:num>
  <w:num w:numId="24" w16cid:durableId="1995255252">
    <w:abstractNumId w:val="10"/>
  </w:num>
  <w:num w:numId="25" w16cid:durableId="2039774606">
    <w:abstractNumId w:val="21"/>
  </w:num>
  <w:num w:numId="26" w16cid:durableId="33047237">
    <w:abstractNumId w:val="25"/>
  </w:num>
  <w:num w:numId="27" w16cid:durableId="1905918595">
    <w:abstractNumId w:val="20"/>
  </w:num>
  <w:num w:numId="28" w16cid:durableId="985740609">
    <w:abstractNumId w:val="6"/>
  </w:num>
  <w:num w:numId="29" w16cid:durableId="1908223141">
    <w:abstractNumId w:val="16"/>
  </w:num>
  <w:num w:numId="30" w16cid:durableId="82578158">
    <w:abstractNumId w:val="18"/>
  </w:num>
  <w:num w:numId="31" w16cid:durableId="685792394">
    <w:abstractNumId w:val="22"/>
  </w:num>
  <w:num w:numId="32" w16cid:durableId="21392551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1586"/>
    <w:rsid w:val="0001332E"/>
    <w:rsid w:val="00034423"/>
    <w:rsid w:val="00042C6B"/>
    <w:rsid w:val="00047E2A"/>
    <w:rsid w:val="00055D72"/>
    <w:rsid w:val="00061C9E"/>
    <w:rsid w:val="000C0548"/>
    <w:rsid w:val="000C774C"/>
    <w:rsid w:val="000D171C"/>
    <w:rsid w:val="000D4A7E"/>
    <w:rsid w:val="000D6D08"/>
    <w:rsid w:val="00105F49"/>
    <w:rsid w:val="00126052"/>
    <w:rsid w:val="001307F2"/>
    <w:rsid w:val="0014675C"/>
    <w:rsid w:val="00146D4A"/>
    <w:rsid w:val="0014794D"/>
    <w:rsid w:val="001660C4"/>
    <w:rsid w:val="0016635A"/>
    <w:rsid w:val="00180C96"/>
    <w:rsid w:val="00181405"/>
    <w:rsid w:val="00181488"/>
    <w:rsid w:val="00192791"/>
    <w:rsid w:val="001A6337"/>
    <w:rsid w:val="001B624B"/>
    <w:rsid w:val="001D0941"/>
    <w:rsid w:val="001E0742"/>
    <w:rsid w:val="001E27DA"/>
    <w:rsid w:val="001F4A03"/>
    <w:rsid w:val="00212EC0"/>
    <w:rsid w:val="002166F0"/>
    <w:rsid w:val="002453EA"/>
    <w:rsid w:val="00246836"/>
    <w:rsid w:val="0025744A"/>
    <w:rsid w:val="0026235A"/>
    <w:rsid w:val="00264182"/>
    <w:rsid w:val="00275807"/>
    <w:rsid w:val="002838A9"/>
    <w:rsid w:val="002B4511"/>
    <w:rsid w:val="002C291A"/>
    <w:rsid w:val="002C4F31"/>
    <w:rsid w:val="002D014A"/>
    <w:rsid w:val="00307927"/>
    <w:rsid w:val="00313188"/>
    <w:rsid w:val="00334AD4"/>
    <w:rsid w:val="0037525C"/>
    <w:rsid w:val="00381634"/>
    <w:rsid w:val="003B212F"/>
    <w:rsid w:val="003B51CA"/>
    <w:rsid w:val="003C5A4D"/>
    <w:rsid w:val="003E2EAF"/>
    <w:rsid w:val="00410837"/>
    <w:rsid w:val="00420E33"/>
    <w:rsid w:val="00421B36"/>
    <w:rsid w:val="00427037"/>
    <w:rsid w:val="004352D6"/>
    <w:rsid w:val="00441687"/>
    <w:rsid w:val="00443253"/>
    <w:rsid w:val="00453032"/>
    <w:rsid w:val="00453B22"/>
    <w:rsid w:val="00455AB0"/>
    <w:rsid w:val="0046186F"/>
    <w:rsid w:val="00461E41"/>
    <w:rsid w:val="00463564"/>
    <w:rsid w:val="004747BB"/>
    <w:rsid w:val="0048225E"/>
    <w:rsid w:val="0049400B"/>
    <w:rsid w:val="004B7F25"/>
    <w:rsid w:val="004E7A60"/>
    <w:rsid w:val="0051404C"/>
    <w:rsid w:val="005149CB"/>
    <w:rsid w:val="005411BD"/>
    <w:rsid w:val="005439BA"/>
    <w:rsid w:val="00544BBB"/>
    <w:rsid w:val="00550072"/>
    <w:rsid w:val="00557AA0"/>
    <w:rsid w:val="005673CA"/>
    <w:rsid w:val="0059776C"/>
    <w:rsid w:val="00621568"/>
    <w:rsid w:val="006251C7"/>
    <w:rsid w:val="00626275"/>
    <w:rsid w:val="006268BC"/>
    <w:rsid w:val="00637876"/>
    <w:rsid w:val="00652AC5"/>
    <w:rsid w:val="006541EE"/>
    <w:rsid w:val="006648D6"/>
    <w:rsid w:val="00686D13"/>
    <w:rsid w:val="00690E39"/>
    <w:rsid w:val="006B3B40"/>
    <w:rsid w:val="006E431F"/>
    <w:rsid w:val="006F2361"/>
    <w:rsid w:val="006F5FAD"/>
    <w:rsid w:val="00700748"/>
    <w:rsid w:val="00715D28"/>
    <w:rsid w:val="00716B89"/>
    <w:rsid w:val="00717741"/>
    <w:rsid w:val="0074693A"/>
    <w:rsid w:val="00761A3A"/>
    <w:rsid w:val="007643EB"/>
    <w:rsid w:val="007702AE"/>
    <w:rsid w:val="0077620F"/>
    <w:rsid w:val="00785BF9"/>
    <w:rsid w:val="007915ED"/>
    <w:rsid w:val="00796889"/>
    <w:rsid w:val="007A4D76"/>
    <w:rsid w:val="007C08D2"/>
    <w:rsid w:val="007D07A4"/>
    <w:rsid w:val="007E2DE9"/>
    <w:rsid w:val="007F4DF9"/>
    <w:rsid w:val="00805B81"/>
    <w:rsid w:val="008312B0"/>
    <w:rsid w:val="00840987"/>
    <w:rsid w:val="00846E0F"/>
    <w:rsid w:val="00851B00"/>
    <w:rsid w:val="00862E10"/>
    <w:rsid w:val="00873A77"/>
    <w:rsid w:val="008837C2"/>
    <w:rsid w:val="00890F41"/>
    <w:rsid w:val="008916B1"/>
    <w:rsid w:val="008920AB"/>
    <w:rsid w:val="00894F59"/>
    <w:rsid w:val="00896DFA"/>
    <w:rsid w:val="00897BFC"/>
    <w:rsid w:val="008C1D9A"/>
    <w:rsid w:val="008C25BE"/>
    <w:rsid w:val="008C36EE"/>
    <w:rsid w:val="008E3833"/>
    <w:rsid w:val="008F2CDB"/>
    <w:rsid w:val="00901C41"/>
    <w:rsid w:val="0090499F"/>
    <w:rsid w:val="00915BF6"/>
    <w:rsid w:val="00916D33"/>
    <w:rsid w:val="009171D6"/>
    <w:rsid w:val="00944CE3"/>
    <w:rsid w:val="009543A4"/>
    <w:rsid w:val="00954910"/>
    <w:rsid w:val="00955571"/>
    <w:rsid w:val="00955A9C"/>
    <w:rsid w:val="009831F3"/>
    <w:rsid w:val="0099317D"/>
    <w:rsid w:val="009A11F6"/>
    <w:rsid w:val="009B3CB2"/>
    <w:rsid w:val="009B5ED6"/>
    <w:rsid w:val="009C3F79"/>
    <w:rsid w:val="009E1A19"/>
    <w:rsid w:val="009E2C40"/>
    <w:rsid w:val="009F13CF"/>
    <w:rsid w:val="009F7402"/>
    <w:rsid w:val="00A219DF"/>
    <w:rsid w:val="00A25A44"/>
    <w:rsid w:val="00A31E42"/>
    <w:rsid w:val="00A50DDA"/>
    <w:rsid w:val="00A54834"/>
    <w:rsid w:val="00A63FFE"/>
    <w:rsid w:val="00A77A58"/>
    <w:rsid w:val="00A87AC0"/>
    <w:rsid w:val="00A908AA"/>
    <w:rsid w:val="00A9121F"/>
    <w:rsid w:val="00A915D5"/>
    <w:rsid w:val="00A96CEB"/>
    <w:rsid w:val="00AA5F7E"/>
    <w:rsid w:val="00AD7B3C"/>
    <w:rsid w:val="00B13B58"/>
    <w:rsid w:val="00B13F68"/>
    <w:rsid w:val="00B3567D"/>
    <w:rsid w:val="00B3673F"/>
    <w:rsid w:val="00B46669"/>
    <w:rsid w:val="00B71CE3"/>
    <w:rsid w:val="00B81BD0"/>
    <w:rsid w:val="00B943D7"/>
    <w:rsid w:val="00B94B8B"/>
    <w:rsid w:val="00BA0803"/>
    <w:rsid w:val="00BB1B33"/>
    <w:rsid w:val="00BE61D7"/>
    <w:rsid w:val="00BF16B4"/>
    <w:rsid w:val="00BF2BD9"/>
    <w:rsid w:val="00C1073E"/>
    <w:rsid w:val="00C45BB1"/>
    <w:rsid w:val="00C622B3"/>
    <w:rsid w:val="00C67079"/>
    <w:rsid w:val="00C8153A"/>
    <w:rsid w:val="00C9099D"/>
    <w:rsid w:val="00C930E7"/>
    <w:rsid w:val="00C9487C"/>
    <w:rsid w:val="00CA3B01"/>
    <w:rsid w:val="00CA50DE"/>
    <w:rsid w:val="00CB04FC"/>
    <w:rsid w:val="00CC4345"/>
    <w:rsid w:val="00CD6AE5"/>
    <w:rsid w:val="00CE4F69"/>
    <w:rsid w:val="00D13832"/>
    <w:rsid w:val="00D3133E"/>
    <w:rsid w:val="00D56749"/>
    <w:rsid w:val="00D6124C"/>
    <w:rsid w:val="00D71D81"/>
    <w:rsid w:val="00D72892"/>
    <w:rsid w:val="00D75839"/>
    <w:rsid w:val="00D76612"/>
    <w:rsid w:val="00D978C6"/>
    <w:rsid w:val="00DA5FDF"/>
    <w:rsid w:val="00DB40BE"/>
    <w:rsid w:val="00DC1210"/>
    <w:rsid w:val="00DD028F"/>
    <w:rsid w:val="00DD6BFE"/>
    <w:rsid w:val="00DE0DCD"/>
    <w:rsid w:val="00DE54CA"/>
    <w:rsid w:val="00DE5D10"/>
    <w:rsid w:val="00DF3EA9"/>
    <w:rsid w:val="00DF60E1"/>
    <w:rsid w:val="00E34D1A"/>
    <w:rsid w:val="00E44FB2"/>
    <w:rsid w:val="00E522F2"/>
    <w:rsid w:val="00E53551"/>
    <w:rsid w:val="00E569E7"/>
    <w:rsid w:val="00E72334"/>
    <w:rsid w:val="00E76B90"/>
    <w:rsid w:val="00EB5A48"/>
    <w:rsid w:val="00EC6CEE"/>
    <w:rsid w:val="00ED059D"/>
    <w:rsid w:val="00ED359D"/>
    <w:rsid w:val="00EF0E24"/>
    <w:rsid w:val="00F219CB"/>
    <w:rsid w:val="00F3386E"/>
    <w:rsid w:val="00F42C3D"/>
    <w:rsid w:val="00F51962"/>
    <w:rsid w:val="00F65DC9"/>
    <w:rsid w:val="00F716D0"/>
    <w:rsid w:val="00F93B2F"/>
    <w:rsid w:val="00F93CE9"/>
    <w:rsid w:val="00FA3DC1"/>
    <w:rsid w:val="00FA6F88"/>
    <w:rsid w:val="00FB64EB"/>
    <w:rsid w:val="00FC0895"/>
    <w:rsid w:val="00FE1DE6"/>
    <w:rsid w:val="00FF1B4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8B8DB"/>
  <w15:docId w15:val="{367C1376-916C-41B6-A91C-1CFAA212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52AC5"/>
    <w:pPr>
      <w:spacing w:after="0" w:line="240" w:lineRule="auto"/>
      <w:ind w:left="720"/>
      <w:contextualSpacing/>
    </w:pPr>
    <w:rPr>
      <w:rFonts w:eastAsia="Times New Roman" w:cs="Times New Roman"/>
      <w:szCs w:val="24"/>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52AC5"/>
    <w:rPr>
      <w:rFonts w:ascii="Times New Roman" w:eastAsia="Times New Roman" w:hAnsi="Times New Roman" w:cs="Times New Roman"/>
      <w:sz w:val="24"/>
      <w:szCs w:val="24"/>
      <w:lang w:eastAsia="lt-LT"/>
    </w:rPr>
  </w:style>
  <w:style w:type="character" w:styleId="Hipersaitas">
    <w:name w:val="Hyperlink"/>
    <w:rsid w:val="000C0548"/>
    <w:rPr>
      <w:color w:val="0000FF"/>
      <w:u w:val="single"/>
    </w:rPr>
  </w:style>
  <w:style w:type="paragraph" w:styleId="Betarp">
    <w:name w:val="No Spacing"/>
    <w:qFormat/>
    <w:rsid w:val="007D07A4"/>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7D07A4"/>
    <w:pPr>
      <w:spacing w:after="0" w:line="240" w:lineRule="auto"/>
      <w:jc w:val="center"/>
    </w:pPr>
    <w:rPr>
      <w:rFonts w:eastAsia="Times New Roman" w:cs="Times New Roman"/>
      <w:b/>
      <w:sz w:val="22"/>
    </w:rPr>
  </w:style>
  <w:style w:type="character" w:customStyle="1" w:styleId="PavadinimasDiagrama">
    <w:name w:val="Pavadinimas Diagrama"/>
    <w:basedOn w:val="Numatytasispastraiposriftas"/>
    <w:link w:val="Pavadinimas"/>
    <w:rsid w:val="007D07A4"/>
    <w:rPr>
      <w:rFonts w:ascii="Times New Roman" w:eastAsia="Times New Roman" w:hAnsi="Times New Roman" w:cs="Times New Roman"/>
      <w:b/>
      <w:sz w:val="22"/>
    </w:rPr>
  </w:style>
  <w:style w:type="table" w:customStyle="1" w:styleId="TableGrid1">
    <w:name w:val="TableGrid1"/>
    <w:rsid w:val="00F219CB"/>
    <w:rPr>
      <w:rFonts w:eastAsiaTheme="minorEastAsia"/>
      <w:sz w:val="22"/>
      <w:lang w:eastAsia="zh-TW"/>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0D6D08"/>
    <w:rPr>
      <w:sz w:val="16"/>
      <w:szCs w:val="16"/>
    </w:rPr>
  </w:style>
  <w:style w:type="paragraph" w:styleId="Komentarotekstas">
    <w:name w:val="annotation text"/>
    <w:basedOn w:val="prastasis"/>
    <w:link w:val="KomentarotekstasDiagrama"/>
    <w:uiPriority w:val="99"/>
    <w:semiHidden/>
    <w:unhideWhenUsed/>
    <w:rsid w:val="000D6D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6D0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0D6D08"/>
    <w:rPr>
      <w:b/>
      <w:bCs/>
    </w:rPr>
  </w:style>
  <w:style w:type="character" w:customStyle="1" w:styleId="KomentarotemaDiagrama">
    <w:name w:val="Komentaro tema Diagrama"/>
    <w:basedOn w:val="KomentarotekstasDiagrama"/>
    <w:link w:val="Komentarotema"/>
    <w:uiPriority w:val="99"/>
    <w:semiHidden/>
    <w:rsid w:val="000D6D08"/>
    <w:rPr>
      <w:rFonts w:ascii="Times New Roman" w:hAnsi="Times New Roman"/>
      <w:b/>
      <w:bCs/>
      <w:szCs w:val="20"/>
    </w:rPr>
  </w:style>
  <w:style w:type="paragraph" w:styleId="Pagrindiniotekstotrauka3">
    <w:name w:val="Body Text Indent 3"/>
    <w:basedOn w:val="prastasis"/>
    <w:link w:val="Pagrindiniotekstotrauka3Diagrama"/>
    <w:uiPriority w:val="99"/>
    <w:semiHidden/>
    <w:unhideWhenUsed/>
    <w:rsid w:val="00CC434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C4345"/>
    <w:rPr>
      <w:rFonts w:ascii="Times New Roman" w:hAnsi="Times New Roman"/>
      <w:sz w:val="16"/>
      <w:szCs w:val="16"/>
    </w:rPr>
  </w:style>
  <w:style w:type="table" w:customStyle="1" w:styleId="Lentelstinklelis1">
    <w:name w:val="Lentelės tinklelis1"/>
    <w:basedOn w:val="prastojilentel"/>
    <w:next w:val="Lentelstinklelis"/>
    <w:uiPriority w:val="39"/>
    <w:rsid w:val="00CC4345"/>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1F4A03"/>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1F4A03"/>
    <w:rPr>
      <w:rFonts w:ascii="Consolas" w:eastAsiaTheme="minorEastAsia" w:hAnsi="Consolas" w:cs="Consolas"/>
      <w:sz w:val="21"/>
      <w:lang w:val="en-US"/>
    </w:rPr>
  </w:style>
  <w:style w:type="paragraph" w:customStyle="1" w:styleId="Skyriauspavadinimas">
    <w:name w:val="Skyriaus pavadinimas"/>
    <w:basedOn w:val="prastasis"/>
    <w:qFormat/>
    <w:rsid w:val="00A77A58"/>
    <w:pPr>
      <w:numPr>
        <w:numId w:val="31"/>
      </w:numPr>
      <w:suppressAutoHyphens/>
      <w:spacing w:after="0" w:line="240" w:lineRule="auto"/>
      <w:jc w:val="center"/>
    </w:pPr>
    <w:rPr>
      <w:rFonts w:ascii="Times New Roman Bold" w:eastAsia="Times New Roman" w:hAnsi="Times New Roman Bold" w:cs="Times New Roman"/>
      <w:b/>
      <w:caps/>
      <w:szCs w:val="24"/>
      <w:lang w:val="en-GB"/>
    </w:rPr>
  </w:style>
  <w:style w:type="paragraph" w:styleId="Pataisymai">
    <w:name w:val="Revision"/>
    <w:hidden/>
    <w:uiPriority w:val="99"/>
    <w:semiHidden/>
    <w:rsid w:val="00761A3A"/>
    <w:rPr>
      <w:rFonts w:ascii="Times New Roman" w:hAnsi="Times New Roman"/>
      <w:sz w:val="24"/>
    </w:rPr>
  </w:style>
  <w:style w:type="table" w:customStyle="1" w:styleId="Lentelstinklelis11">
    <w:name w:val="Lentelės tinklelis11"/>
    <w:basedOn w:val="prastojilentel"/>
    <w:uiPriority w:val="99"/>
    <w:rsid w:val="009E2C40"/>
    <w:rPr>
      <w:rFonts w:ascii="Cambria" w:eastAsia="Cambria" w:hAnsi="Cambria" w:cs="Angsana New"/>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88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SelectedTextFilter=&amp;Query=&amp;OrderingType=0&amp;OrderingDirection=0&amp;IncludeExpired=true&amp;Cpvs=&amp;TenderId=697161+&amp;EpsReferenceNr=&amp;DeadlineFromDate=&amp;DeadlineToDate=&amp;PublishedFromDate=&amp;PublishedToDate=&amp;IsGreenProcurement=false&amp;PageNumber=1&amp;PageSize=1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8" ma:contentTypeDescription="Create a new document." ma:contentTypeScope="" ma:versionID="226691f153f1ca86605b0b651aecf41a">
  <xsd:schema xmlns:xsd="http://www.w3.org/2001/XMLSchema" xmlns:xs="http://www.w3.org/2001/XMLSchema" xmlns:p="http://schemas.microsoft.com/office/2006/metadata/properties" xmlns:ns3="ba76eb89-8504-4e48-9613-f17d6a3b8b71" targetNamespace="http://schemas.microsoft.com/office/2006/metadata/properties" ma:root="true" ma:fieldsID="3987b026fdb0bedc85611585c976b430"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81A20-6786-40CB-A3B3-2EC2B84CD63E}">
  <ds:schemaRefs>
    <ds:schemaRef ds:uri="http://schemas.microsoft.com/sharepoint/v3/contenttype/forms"/>
  </ds:schemaRefs>
</ds:datastoreItem>
</file>

<file path=customXml/itemProps2.xml><?xml version="1.0" encoding="utf-8"?>
<ds:datastoreItem xmlns:ds="http://schemas.openxmlformats.org/officeDocument/2006/customXml" ds:itemID="{50DFC2F0-E95D-4FFA-9F6D-D987C3E4D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D0999-E239-41CD-9712-9E75E6274A11}">
  <ds:schemaRefs>
    <ds:schemaRef ds:uri="http://schemas.openxmlformats.org/officeDocument/2006/bibliography"/>
  </ds:schemaRefs>
</ds:datastoreItem>
</file>

<file path=customXml/itemProps4.xml><?xml version="1.0" encoding="utf-8"?>
<ds:datastoreItem xmlns:ds="http://schemas.openxmlformats.org/officeDocument/2006/customXml" ds:itemID="{A9A076D2-E3CA-4BAF-BD13-FDD897949C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5297</Words>
  <Characters>3020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dc:description/>
  <cp:lastModifiedBy>Asta Šimonėlienė</cp:lastModifiedBy>
  <cp:revision>4</cp:revision>
  <cp:lastPrinted>2017-01-31T13:12:00Z</cp:lastPrinted>
  <dcterms:created xsi:type="dcterms:W3CDTF">2025-12-10T06:47:00Z</dcterms:created>
  <dcterms:modified xsi:type="dcterms:W3CDTF">2025-12-10T07:02:00Z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0x010100D5F04D2C35991042BF63E7E7B4343756</vt:lpwstr>
  </property>
</Properties>
</file>