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A94DB" w14:textId="0F571F9D" w:rsidR="00E962F0" w:rsidRDefault="001807C4" w:rsidP="001215D7">
      <w:pPr>
        <w:pStyle w:val="Header"/>
        <w:tabs>
          <w:tab w:val="clear" w:pos="8306"/>
          <w:tab w:val="right" w:pos="10170"/>
        </w:tabs>
        <w:outlineLvl w:val="0"/>
      </w:pPr>
      <w:r>
        <w:tab/>
        <w:t xml:space="preserve">                                                            </w:t>
      </w:r>
      <w:r w:rsidR="001D1962">
        <w:t xml:space="preserve">  </w:t>
      </w:r>
      <w:r w:rsidR="00BF6270">
        <w:t xml:space="preserve"> </w:t>
      </w:r>
      <w:r w:rsidR="001557A6">
        <w:t xml:space="preserve"> </w:t>
      </w:r>
      <w:r w:rsidR="00E962F0">
        <w:t>Nr.</w:t>
      </w:r>
      <w:r w:rsidR="00C75E1F">
        <w:t xml:space="preserve"> </w:t>
      </w:r>
      <w:r w:rsidR="00325EC1">
        <w:t>DO</w:t>
      </w:r>
      <w:r w:rsidR="007269FC">
        <w:t>K-</w:t>
      </w:r>
      <w:r w:rsidR="00BF6270">
        <w:t>1</w:t>
      </w:r>
      <w:r w:rsidR="0022021A">
        <w:t>694</w:t>
      </w:r>
    </w:p>
    <w:p w14:paraId="54D12C0A" w14:textId="4A1D4FA0" w:rsidR="0022021A" w:rsidRDefault="0022021A" w:rsidP="001215D7">
      <w:pPr>
        <w:pStyle w:val="Header"/>
        <w:tabs>
          <w:tab w:val="clear" w:pos="8306"/>
          <w:tab w:val="right" w:pos="10170"/>
        </w:tabs>
        <w:outlineLvl w:val="0"/>
      </w:pPr>
      <w:r>
        <w:t xml:space="preserve">                                                                                         Civilinė byla Nr. e3K-3-177-XX/2024</w:t>
      </w:r>
    </w:p>
    <w:p w14:paraId="3BCD789D" w14:textId="39695B1E" w:rsidR="00C75E1F" w:rsidRDefault="00C75E1F">
      <w:pPr>
        <w:pStyle w:val="Header"/>
        <w:tabs>
          <w:tab w:val="clear" w:pos="8306"/>
          <w:tab w:val="right" w:pos="10170"/>
        </w:tabs>
      </w:pPr>
      <w:r>
        <w:tab/>
        <w:t xml:space="preserve">                                                               </w:t>
      </w:r>
      <w:r w:rsidR="00325EC1">
        <w:t xml:space="preserve">                        </w:t>
      </w:r>
      <w:r w:rsidR="00483927">
        <w:t xml:space="preserve"> </w:t>
      </w:r>
      <w:r w:rsidR="00325EC1">
        <w:t xml:space="preserve"> </w:t>
      </w:r>
      <w:r>
        <w:t>Teisminio proceso Nr.</w:t>
      </w:r>
      <w:r w:rsidR="00B42BC3" w:rsidRPr="00B42BC3">
        <w:t xml:space="preserve"> </w:t>
      </w:r>
      <w:r w:rsidR="00BF6270" w:rsidRPr="007F7731">
        <w:rPr>
          <w:szCs w:val="24"/>
        </w:rPr>
        <w:t>2-55-3-01180-2023-2</w:t>
      </w:r>
      <w:r w:rsidR="00E3161C">
        <w:t xml:space="preserve"> </w:t>
      </w:r>
    </w:p>
    <w:p w14:paraId="5498FDD2" w14:textId="77777777" w:rsidR="00276739" w:rsidRDefault="00276739" w:rsidP="001807C4">
      <w:pPr>
        <w:pStyle w:val="Header"/>
        <w:jc w:val="center"/>
      </w:pPr>
    </w:p>
    <w:p w14:paraId="0C4E3284" w14:textId="77777777" w:rsidR="00E962F0" w:rsidRDefault="00E962F0" w:rsidP="001807C4">
      <w:pPr>
        <w:pStyle w:val="Header"/>
        <w:jc w:val="center"/>
      </w:pPr>
      <w:r>
        <w:object w:dxaOrig="1041" w:dyaOrig="1061" w14:anchorId="46E6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53pt" o:ole="" fillcolor="window">
            <v:imagedata r:id="rId6" o:title=""/>
          </v:shape>
          <o:OLEObject Type="Embed" ProgID="Word.Picture.8" ShapeID="_x0000_i1025" DrawAspect="Content" ObjectID="_1775560328" r:id="rId7"/>
        </w:object>
      </w:r>
    </w:p>
    <w:p w14:paraId="2EF4A189" w14:textId="77777777" w:rsidR="00E962F0" w:rsidRDefault="00E962F0">
      <w:pPr>
        <w:pStyle w:val="Title"/>
        <w:spacing w:line="240" w:lineRule="auto"/>
        <w:rPr>
          <w:rFonts w:ascii="Times New Roman" w:hAnsi="Times New Roman"/>
          <w:sz w:val="24"/>
        </w:rPr>
      </w:pPr>
    </w:p>
    <w:p w14:paraId="79E5C55B" w14:textId="77777777" w:rsidR="00E962F0" w:rsidRPr="008674F9" w:rsidRDefault="00E962F0">
      <w:pPr>
        <w:jc w:val="center"/>
        <w:rPr>
          <w:b/>
          <w:sz w:val="32"/>
          <w:szCs w:val="32"/>
        </w:rPr>
      </w:pPr>
      <w:r w:rsidRPr="008674F9">
        <w:rPr>
          <w:b/>
          <w:sz w:val="32"/>
          <w:szCs w:val="32"/>
        </w:rPr>
        <w:t>LIETUVOS AUKŠČIAUSIASIS TEISMAS</w:t>
      </w:r>
    </w:p>
    <w:p w14:paraId="7ED123EC" w14:textId="77777777" w:rsidR="00E962F0" w:rsidRPr="008674F9" w:rsidRDefault="00E962F0">
      <w:pPr>
        <w:rPr>
          <w:b/>
          <w:sz w:val="32"/>
          <w:szCs w:val="32"/>
        </w:rPr>
      </w:pPr>
    </w:p>
    <w:p w14:paraId="385C1C48" w14:textId="77777777" w:rsidR="00E962F0" w:rsidRPr="008674F9" w:rsidRDefault="00E962F0">
      <w:pPr>
        <w:jc w:val="center"/>
        <w:rPr>
          <w:sz w:val="32"/>
          <w:szCs w:val="32"/>
        </w:rPr>
      </w:pPr>
      <w:r w:rsidRPr="008674F9">
        <w:rPr>
          <w:b/>
          <w:sz w:val="32"/>
          <w:szCs w:val="32"/>
        </w:rPr>
        <w:t>NUTARTIS</w:t>
      </w:r>
    </w:p>
    <w:p w14:paraId="40B5C043" w14:textId="77777777" w:rsidR="00B86BFC" w:rsidRDefault="00B86BFC" w:rsidP="000D310A">
      <w:pPr>
        <w:jc w:val="center"/>
      </w:pPr>
    </w:p>
    <w:p w14:paraId="179D9678" w14:textId="7FD0F521" w:rsidR="00E962F0" w:rsidRDefault="0071052E" w:rsidP="0071052E">
      <w:r>
        <w:t xml:space="preserve">                              </w:t>
      </w:r>
      <w:r w:rsidR="00C050ED">
        <w:t xml:space="preserve">                         </w:t>
      </w:r>
      <w:r w:rsidR="00CB4421">
        <w:t xml:space="preserve"> </w:t>
      </w:r>
      <w:r w:rsidR="0047375D">
        <w:t xml:space="preserve"> </w:t>
      </w:r>
      <w:r w:rsidR="00AF5F22">
        <w:t xml:space="preserve"> </w:t>
      </w:r>
      <w:r w:rsidR="00325EC1">
        <w:t xml:space="preserve"> </w:t>
      </w:r>
      <w:r w:rsidR="00D02697">
        <w:t xml:space="preserve"> </w:t>
      </w:r>
      <w:r w:rsidR="000F1AFE">
        <w:t xml:space="preserve"> </w:t>
      </w:r>
      <w:r w:rsidR="00C17728">
        <w:t xml:space="preserve"> </w:t>
      </w:r>
      <w:r w:rsidR="00ED14A2">
        <w:t xml:space="preserve"> </w:t>
      </w:r>
      <w:r w:rsidR="00D11328">
        <w:t xml:space="preserve"> </w:t>
      </w:r>
      <w:r w:rsidR="00E962F0">
        <w:t>20</w:t>
      </w:r>
      <w:r w:rsidR="00325EC1">
        <w:t>2</w:t>
      </w:r>
      <w:r w:rsidR="00B42BC3">
        <w:t>4</w:t>
      </w:r>
      <w:r w:rsidR="000F14C1">
        <w:t xml:space="preserve"> m.</w:t>
      </w:r>
      <w:r w:rsidR="00E962F0">
        <w:t xml:space="preserve"> </w:t>
      </w:r>
      <w:r w:rsidR="00BF6270">
        <w:t xml:space="preserve">balandžio </w:t>
      </w:r>
      <w:r w:rsidR="0038092F">
        <w:t xml:space="preserve">25 </w:t>
      </w:r>
      <w:r w:rsidR="00E962F0">
        <w:t>d.</w:t>
      </w:r>
    </w:p>
    <w:p w14:paraId="13A2420D" w14:textId="77777777" w:rsidR="00E962F0" w:rsidRDefault="00E962F0">
      <w:pPr>
        <w:jc w:val="center"/>
      </w:pPr>
      <w:r>
        <w:t>Vilnius</w:t>
      </w:r>
    </w:p>
    <w:p w14:paraId="52CCB900" w14:textId="77777777" w:rsidR="00E962F0" w:rsidRDefault="00E962F0"/>
    <w:p w14:paraId="12E20B65" w14:textId="13372DC1" w:rsidR="00ED14A2" w:rsidRPr="00435CB1" w:rsidRDefault="00ED14A2" w:rsidP="00ED14A2">
      <w:pPr>
        <w:pStyle w:val="BodyTextIndent"/>
        <w:ind w:left="0" w:firstLine="283"/>
        <w:jc w:val="both"/>
      </w:pPr>
      <w:r>
        <w:rPr>
          <w:szCs w:val="24"/>
        </w:rPr>
        <w:tab/>
      </w:r>
      <w:r w:rsidR="00E962F0" w:rsidRPr="00CA4AB0">
        <w:rPr>
          <w:szCs w:val="24"/>
        </w:rPr>
        <w:t>Lietuvos Aukščiausiojo Teismo Civilinių bylų skyriaus atrankos kolegija, susidedanti iš teisėjų</w:t>
      </w:r>
      <w:r w:rsidR="00BD39A8" w:rsidRPr="00BD39A8">
        <w:t xml:space="preserve"> </w:t>
      </w:r>
      <w:r w:rsidR="006A68D1">
        <w:t>A</w:t>
      </w:r>
      <w:r w:rsidR="0022021A">
        <w:t xml:space="preserve">rtūro </w:t>
      </w:r>
      <w:proofErr w:type="spellStart"/>
      <w:r w:rsidR="0022021A">
        <w:t>Driuko</w:t>
      </w:r>
      <w:proofErr w:type="spellEnd"/>
      <w:r w:rsidR="0099773F">
        <w:t xml:space="preserve"> </w:t>
      </w:r>
      <w:r w:rsidR="006A68D1">
        <w:t>(kolegijos pirmininkas),</w:t>
      </w:r>
      <w:r w:rsidR="0099773F">
        <w:t xml:space="preserve"> </w:t>
      </w:r>
      <w:proofErr w:type="spellStart"/>
      <w:r w:rsidR="0099773F">
        <w:t>Andžej</w:t>
      </w:r>
      <w:proofErr w:type="spellEnd"/>
      <w:r w:rsidR="0099773F">
        <w:t xml:space="preserve"> Maciejevski ir Agnės </w:t>
      </w:r>
      <w:proofErr w:type="spellStart"/>
      <w:r w:rsidR="0099773F">
        <w:t>Tikniūtės</w:t>
      </w:r>
      <w:proofErr w:type="spellEnd"/>
      <w:r w:rsidR="0099773F">
        <w:t>,</w:t>
      </w:r>
    </w:p>
    <w:p w14:paraId="04DBE5BB" w14:textId="2BB4458F" w:rsidR="00BB57DB" w:rsidRDefault="00510F1C" w:rsidP="00FE17FF">
      <w:pPr>
        <w:pStyle w:val="BodyTextIndent"/>
        <w:ind w:left="0" w:firstLine="720"/>
        <w:jc w:val="both"/>
      </w:pPr>
      <w:r>
        <w:rPr>
          <w:szCs w:val="24"/>
        </w:rPr>
        <w:t>s</w:t>
      </w:r>
      <w:r w:rsidR="000D310A" w:rsidRPr="005940F2">
        <w:t>usipažinusi su 20</w:t>
      </w:r>
      <w:r w:rsidR="00325EC1">
        <w:t>2</w:t>
      </w:r>
      <w:r w:rsidR="00B42BC3">
        <w:t>4</w:t>
      </w:r>
      <w:r w:rsidR="000D310A" w:rsidRPr="005940F2">
        <w:t xml:space="preserve"> m.</w:t>
      </w:r>
      <w:r w:rsidR="003C646C">
        <w:t xml:space="preserve"> </w:t>
      </w:r>
      <w:r w:rsidR="0099773F">
        <w:t>balandžio 22</w:t>
      </w:r>
      <w:r w:rsidR="001557A6">
        <w:t xml:space="preserve"> </w:t>
      </w:r>
      <w:r w:rsidR="00C41532">
        <w:t>d</w:t>
      </w:r>
      <w:r w:rsidR="000D310A" w:rsidRPr="005940F2">
        <w:t xml:space="preserve">. </w:t>
      </w:r>
      <w:r w:rsidR="00E3161C">
        <w:t>pa</w:t>
      </w:r>
      <w:r w:rsidR="0099773F">
        <w:t xml:space="preserve">teiktu </w:t>
      </w:r>
      <w:bookmarkStart w:id="0" w:name="_Hlk164841823"/>
      <w:r w:rsidR="00CF00BB">
        <w:rPr>
          <w:b/>
        </w:rPr>
        <w:t>ieškov</w:t>
      </w:r>
      <w:r w:rsidR="00BF6270">
        <w:rPr>
          <w:b/>
        </w:rPr>
        <w:t>ės UAB „</w:t>
      </w:r>
      <w:proofErr w:type="spellStart"/>
      <w:r w:rsidR="00BF6270">
        <w:rPr>
          <w:b/>
        </w:rPr>
        <w:t>Inti</w:t>
      </w:r>
      <w:proofErr w:type="spellEnd"/>
      <w:r w:rsidR="00BF6270">
        <w:rPr>
          <w:b/>
        </w:rPr>
        <w:t>“</w:t>
      </w:r>
      <w:r w:rsidR="00CF00BB">
        <w:rPr>
          <w:b/>
          <w:szCs w:val="24"/>
        </w:rPr>
        <w:t xml:space="preserve"> </w:t>
      </w:r>
      <w:bookmarkEnd w:id="0"/>
      <w:r w:rsidR="0053611C">
        <w:t xml:space="preserve">prašymu </w:t>
      </w:r>
      <w:r w:rsidR="00BF6270">
        <w:t xml:space="preserve">taikyti </w:t>
      </w:r>
      <w:bookmarkStart w:id="1" w:name="_Hlk163478948"/>
      <w:r w:rsidR="00BF6270">
        <w:t>laikinąsias apsaugos priemones</w:t>
      </w:r>
      <w:bookmarkEnd w:id="1"/>
      <w:r w:rsidR="00BB57DB" w:rsidRPr="009369C9">
        <w:t>,</w:t>
      </w:r>
    </w:p>
    <w:p w14:paraId="0308E7B7" w14:textId="77777777" w:rsidR="00E962F0" w:rsidRPr="00BB57DB" w:rsidRDefault="000D310A" w:rsidP="00BB57DB">
      <w:pPr>
        <w:ind w:firstLine="720"/>
        <w:jc w:val="both"/>
      </w:pPr>
      <w:r w:rsidRPr="005940F2">
        <w:t xml:space="preserve"> </w:t>
      </w:r>
    </w:p>
    <w:p w14:paraId="07AE147A" w14:textId="77777777" w:rsidR="00E962F0" w:rsidRDefault="00E962F0">
      <w:pPr>
        <w:pStyle w:val="BodyText"/>
        <w:jc w:val="both"/>
        <w:rPr>
          <w:b w:val="0"/>
          <w:sz w:val="24"/>
          <w:lang w:val="lt-LT"/>
        </w:rPr>
      </w:pPr>
      <w:r>
        <w:rPr>
          <w:b w:val="0"/>
          <w:sz w:val="24"/>
          <w:lang w:val="lt-LT"/>
        </w:rPr>
        <w:t xml:space="preserve">n u s t a t ė : </w:t>
      </w:r>
    </w:p>
    <w:p w14:paraId="3C543A41" w14:textId="77777777" w:rsidR="00F519E4" w:rsidRDefault="00F519E4" w:rsidP="00F519E4">
      <w:pPr>
        <w:pStyle w:val="BodyText"/>
        <w:ind w:firstLine="720"/>
        <w:jc w:val="both"/>
        <w:rPr>
          <w:b w:val="0"/>
          <w:sz w:val="24"/>
          <w:szCs w:val="24"/>
          <w:lang w:val="lt-LT"/>
        </w:rPr>
      </w:pPr>
    </w:p>
    <w:p w14:paraId="5E246950" w14:textId="06A6A55D" w:rsidR="002110C1" w:rsidRDefault="0022021A" w:rsidP="002110C1">
      <w:pPr>
        <w:pStyle w:val="BodyText"/>
        <w:ind w:firstLine="720"/>
        <w:jc w:val="both"/>
        <w:rPr>
          <w:b w:val="0"/>
          <w:sz w:val="24"/>
          <w:szCs w:val="24"/>
          <w:lang w:val="lt-LT"/>
        </w:rPr>
      </w:pPr>
      <w:r>
        <w:rPr>
          <w:b w:val="0"/>
          <w:sz w:val="24"/>
          <w:lang w:val="lt-LT"/>
        </w:rPr>
        <w:t>Atrankos kolegija 2024 m. balandžio 9 d. nutartimi Nr. DOK-</w:t>
      </w:r>
      <w:r w:rsidR="0099773F">
        <w:rPr>
          <w:b w:val="0"/>
          <w:sz w:val="24"/>
          <w:lang w:val="lt-LT"/>
        </w:rPr>
        <w:t>1373</w:t>
      </w:r>
      <w:r>
        <w:rPr>
          <w:b w:val="0"/>
          <w:sz w:val="24"/>
          <w:lang w:val="lt-LT"/>
        </w:rPr>
        <w:t xml:space="preserve"> priėmė </w:t>
      </w:r>
      <w:r w:rsidRPr="0022021A">
        <w:rPr>
          <w:b w:val="0"/>
          <w:sz w:val="24"/>
          <w:lang w:val="lt-LT"/>
        </w:rPr>
        <w:t>ieškovės UAB „</w:t>
      </w:r>
      <w:proofErr w:type="spellStart"/>
      <w:r w:rsidRPr="0022021A">
        <w:rPr>
          <w:b w:val="0"/>
          <w:sz w:val="24"/>
          <w:lang w:val="lt-LT"/>
        </w:rPr>
        <w:t>Inti</w:t>
      </w:r>
      <w:proofErr w:type="spellEnd"/>
      <w:r w:rsidRPr="0022021A">
        <w:rPr>
          <w:b w:val="0"/>
          <w:sz w:val="24"/>
          <w:lang w:val="lt-LT"/>
        </w:rPr>
        <w:t>“ kasacin</w:t>
      </w:r>
      <w:r>
        <w:rPr>
          <w:b w:val="0"/>
          <w:sz w:val="24"/>
          <w:lang w:val="lt-LT"/>
        </w:rPr>
        <w:t xml:space="preserve">į </w:t>
      </w:r>
      <w:r w:rsidRPr="0022021A">
        <w:rPr>
          <w:b w:val="0"/>
          <w:sz w:val="24"/>
          <w:lang w:val="lt-LT"/>
        </w:rPr>
        <w:t>skund</w:t>
      </w:r>
      <w:r>
        <w:rPr>
          <w:b w:val="0"/>
          <w:sz w:val="24"/>
          <w:lang w:val="lt-LT"/>
        </w:rPr>
        <w:t>ą</w:t>
      </w:r>
      <w:r w:rsidRPr="0022021A">
        <w:rPr>
          <w:b w:val="0"/>
          <w:sz w:val="24"/>
          <w:lang w:val="lt-LT"/>
        </w:rPr>
        <w:t xml:space="preserve"> dėl Lietuvos apeliacinio teismo Civilinių bylų skyriaus teisėjų kolegijos 2024</w:t>
      </w:r>
      <w:r w:rsidR="0099773F">
        <w:rPr>
          <w:b w:val="0"/>
          <w:sz w:val="24"/>
          <w:lang w:val="lt-LT"/>
        </w:rPr>
        <w:t> </w:t>
      </w:r>
      <w:r w:rsidRPr="0022021A">
        <w:rPr>
          <w:b w:val="0"/>
          <w:sz w:val="24"/>
          <w:lang w:val="lt-LT"/>
        </w:rPr>
        <w:t>m. kovo 21 d. nutarties</w:t>
      </w:r>
      <w:r w:rsidR="0099773F">
        <w:rPr>
          <w:b w:val="0"/>
          <w:sz w:val="24"/>
          <w:lang w:val="lt-LT"/>
        </w:rPr>
        <w:t xml:space="preserve"> peržiūrėjimo kasacine tvarka</w:t>
      </w:r>
      <w:r>
        <w:rPr>
          <w:b w:val="0"/>
          <w:sz w:val="24"/>
          <w:lang w:val="lt-LT"/>
        </w:rPr>
        <w:t>.</w:t>
      </w:r>
      <w:r w:rsidR="002110C1" w:rsidRPr="002110C1">
        <w:rPr>
          <w:b w:val="0"/>
          <w:sz w:val="24"/>
          <w:szCs w:val="24"/>
          <w:lang w:val="lt-LT"/>
        </w:rPr>
        <w:t xml:space="preserve"> </w:t>
      </w:r>
      <w:r w:rsidR="002110C1">
        <w:rPr>
          <w:b w:val="0"/>
          <w:sz w:val="24"/>
          <w:szCs w:val="24"/>
          <w:lang w:val="lt-LT"/>
        </w:rPr>
        <w:t xml:space="preserve">Šia nutartimi paliktas nepakeistas pirmosios instancijos teismo sprendimas, kuriuo atmestas </w:t>
      </w:r>
      <w:r w:rsidR="002110C1">
        <w:rPr>
          <w:b w:val="0"/>
          <w:sz w:val="24"/>
          <w:lang w:val="lt-LT"/>
        </w:rPr>
        <w:t>UAB „</w:t>
      </w:r>
      <w:proofErr w:type="spellStart"/>
      <w:r w:rsidR="002110C1">
        <w:rPr>
          <w:b w:val="0"/>
          <w:sz w:val="24"/>
          <w:lang w:val="lt-LT"/>
        </w:rPr>
        <w:t>Inti</w:t>
      </w:r>
      <w:proofErr w:type="spellEnd"/>
      <w:r w:rsidR="002110C1">
        <w:rPr>
          <w:b w:val="0"/>
          <w:sz w:val="24"/>
          <w:lang w:val="lt-LT"/>
        </w:rPr>
        <w:t xml:space="preserve">“ </w:t>
      </w:r>
      <w:r w:rsidR="002110C1">
        <w:rPr>
          <w:b w:val="0"/>
          <w:sz w:val="24"/>
          <w:szCs w:val="24"/>
          <w:lang w:val="lt-LT"/>
        </w:rPr>
        <w:t>ieškinys atsakovei AB „Lietuvos oro uostai“ dėl sprendimo atmesti ieškovės paraišką ir įtraukti ją į Melagingą informaciją pateikusių tiekėjų sąrašą pripažinimo neteisėtu ir panaikinimo.</w:t>
      </w:r>
    </w:p>
    <w:p w14:paraId="49CFD55D" w14:textId="5C4B4D37" w:rsidR="0022021A" w:rsidRDefault="0022021A" w:rsidP="002110C1">
      <w:pPr>
        <w:pStyle w:val="BodyText"/>
        <w:ind w:firstLine="720"/>
        <w:jc w:val="both"/>
        <w:rPr>
          <w:b w:val="0"/>
          <w:sz w:val="24"/>
          <w:szCs w:val="24"/>
          <w:lang w:val="lt-LT"/>
        </w:rPr>
      </w:pPr>
      <w:r>
        <w:rPr>
          <w:b w:val="0"/>
          <w:sz w:val="24"/>
          <w:lang w:val="lt-LT"/>
        </w:rPr>
        <w:t xml:space="preserve">Atrankos kolegija netenkino ieškovės </w:t>
      </w:r>
      <w:r w:rsidR="0099773F" w:rsidRPr="0022021A">
        <w:rPr>
          <w:b w:val="0"/>
          <w:sz w:val="24"/>
          <w:lang w:val="lt-LT"/>
        </w:rPr>
        <w:t>UAB „</w:t>
      </w:r>
      <w:proofErr w:type="spellStart"/>
      <w:r w:rsidR="0099773F" w:rsidRPr="0022021A">
        <w:rPr>
          <w:b w:val="0"/>
          <w:sz w:val="24"/>
          <w:lang w:val="lt-LT"/>
        </w:rPr>
        <w:t>Inti</w:t>
      </w:r>
      <w:proofErr w:type="spellEnd"/>
      <w:r w:rsidR="0099773F" w:rsidRPr="0022021A">
        <w:rPr>
          <w:b w:val="0"/>
          <w:sz w:val="24"/>
          <w:lang w:val="lt-LT"/>
        </w:rPr>
        <w:t xml:space="preserve">“ </w:t>
      </w:r>
      <w:r>
        <w:rPr>
          <w:b w:val="0"/>
          <w:sz w:val="24"/>
          <w:lang w:val="lt-LT"/>
        </w:rPr>
        <w:t xml:space="preserve">prašymo </w:t>
      </w:r>
      <w:r w:rsidR="00BF6270">
        <w:rPr>
          <w:b w:val="0"/>
          <w:sz w:val="24"/>
          <w:szCs w:val="24"/>
          <w:lang w:val="lt-LT"/>
        </w:rPr>
        <w:t xml:space="preserve">taikyti </w:t>
      </w:r>
      <w:r w:rsidR="00BF6270" w:rsidRPr="00BF6270">
        <w:rPr>
          <w:b w:val="0"/>
          <w:sz w:val="24"/>
          <w:szCs w:val="24"/>
          <w:lang w:val="lt-LT"/>
        </w:rPr>
        <w:t xml:space="preserve">laikinąsias apsaugos priemones </w:t>
      </w:r>
      <w:r w:rsidR="006A68D1">
        <w:rPr>
          <w:b w:val="0"/>
          <w:sz w:val="24"/>
          <w:szCs w:val="24"/>
          <w:lang w:val="lt-LT"/>
        </w:rPr>
        <w:t xml:space="preserve">– </w:t>
      </w:r>
      <w:r w:rsidR="00BF6270" w:rsidRPr="00BF6270">
        <w:rPr>
          <w:b w:val="0"/>
          <w:sz w:val="24"/>
          <w:szCs w:val="24"/>
          <w:lang w:val="lt-LT"/>
        </w:rPr>
        <w:t xml:space="preserve">pašalinti </w:t>
      </w:r>
      <w:r w:rsidR="006A68D1">
        <w:rPr>
          <w:b w:val="0"/>
          <w:sz w:val="24"/>
          <w:szCs w:val="24"/>
          <w:lang w:val="lt-LT"/>
        </w:rPr>
        <w:t xml:space="preserve">ją </w:t>
      </w:r>
      <w:r w:rsidR="00BF6270" w:rsidRPr="00BF6270">
        <w:rPr>
          <w:b w:val="0"/>
          <w:sz w:val="24"/>
          <w:szCs w:val="24"/>
          <w:lang w:val="lt-LT"/>
        </w:rPr>
        <w:t xml:space="preserve">iš </w:t>
      </w:r>
      <w:r w:rsidR="00233551">
        <w:rPr>
          <w:b w:val="0"/>
          <w:sz w:val="24"/>
          <w:szCs w:val="24"/>
          <w:lang w:val="lt-LT"/>
        </w:rPr>
        <w:t>M</w:t>
      </w:r>
      <w:r w:rsidR="00233551" w:rsidRPr="00BF6270">
        <w:rPr>
          <w:b w:val="0"/>
          <w:sz w:val="24"/>
          <w:szCs w:val="24"/>
          <w:lang w:val="lt-LT"/>
        </w:rPr>
        <w:t xml:space="preserve">elagingą informaciją pateikusių tiekėjų </w:t>
      </w:r>
      <w:r w:rsidR="00233551">
        <w:rPr>
          <w:b w:val="0"/>
          <w:sz w:val="24"/>
          <w:szCs w:val="24"/>
          <w:lang w:val="lt-LT"/>
        </w:rPr>
        <w:t>s</w:t>
      </w:r>
      <w:r w:rsidR="00BF6270" w:rsidRPr="00BF6270">
        <w:rPr>
          <w:b w:val="0"/>
          <w:sz w:val="24"/>
          <w:szCs w:val="24"/>
          <w:lang w:val="lt-LT"/>
        </w:rPr>
        <w:t>ąrašo iki byla bus išnagrinėta kasacine tvarka</w:t>
      </w:r>
      <w:r>
        <w:rPr>
          <w:b w:val="0"/>
          <w:sz w:val="24"/>
          <w:szCs w:val="24"/>
          <w:lang w:val="lt-LT"/>
        </w:rPr>
        <w:t xml:space="preserve">, padarydama išvadą, kad </w:t>
      </w:r>
      <w:r w:rsidR="0099773F">
        <w:rPr>
          <w:b w:val="0"/>
          <w:sz w:val="24"/>
          <w:szCs w:val="24"/>
          <w:lang w:val="lt-LT"/>
        </w:rPr>
        <w:t>ji</w:t>
      </w:r>
      <w:r w:rsidRPr="0022021A">
        <w:rPr>
          <w:b w:val="0"/>
          <w:sz w:val="24"/>
          <w:szCs w:val="24"/>
          <w:lang w:val="lt-LT"/>
        </w:rPr>
        <w:t xml:space="preserve"> tinkamai nepagrindė, kaip galėtų pasunkėti arba pasidaryti nebeįmanomas būsimo teismo sprendimo įvykdymas, jeigu nebūtų taikomos </w:t>
      </w:r>
      <w:r w:rsidR="0099773F">
        <w:rPr>
          <w:b w:val="0"/>
          <w:sz w:val="24"/>
          <w:szCs w:val="24"/>
          <w:lang w:val="lt-LT"/>
        </w:rPr>
        <w:t xml:space="preserve">nurodytos </w:t>
      </w:r>
      <w:r w:rsidRPr="0022021A">
        <w:rPr>
          <w:b w:val="0"/>
          <w:sz w:val="24"/>
          <w:szCs w:val="24"/>
          <w:lang w:val="lt-LT"/>
        </w:rPr>
        <w:t>laikinosios apsaugos priemonės</w:t>
      </w:r>
      <w:r w:rsidR="0099773F">
        <w:rPr>
          <w:b w:val="0"/>
          <w:sz w:val="24"/>
          <w:szCs w:val="24"/>
          <w:lang w:val="lt-LT"/>
        </w:rPr>
        <w:t>. Atrankos kolegija nurodė, kad i</w:t>
      </w:r>
      <w:r w:rsidRPr="0022021A">
        <w:rPr>
          <w:b w:val="0"/>
          <w:sz w:val="24"/>
          <w:szCs w:val="24"/>
          <w:lang w:val="lt-LT"/>
        </w:rPr>
        <w:t>eškovė nepateikė jokių konkrečių rašytinių įrodymų, kurie patvirtintų, kad, esant įtrauktai į Melagingą informaciją pateikusių tiekėjų sąrašą, ji negali dalyvauti kituose viešuosiuose pirkimuose arba ji, įgyvendindama</w:t>
      </w:r>
      <w:r w:rsidR="000F4998" w:rsidRPr="000F4998">
        <w:rPr>
          <w:b w:val="0"/>
          <w:sz w:val="24"/>
          <w:szCs w:val="24"/>
          <w:lang w:val="lt-LT"/>
        </w:rPr>
        <w:t xml:space="preserve"> </w:t>
      </w:r>
      <w:r w:rsidR="000F4998" w:rsidRPr="00DD1231">
        <w:rPr>
          <w:b w:val="0"/>
          <w:sz w:val="24"/>
          <w:szCs w:val="24"/>
          <w:lang w:val="lt-LT"/>
        </w:rPr>
        <w:t>Lietuvos Respublikos viešųjų pirkimų įstatymo (toliau –</w:t>
      </w:r>
      <w:r w:rsidR="000F4998">
        <w:rPr>
          <w:b w:val="0"/>
          <w:sz w:val="24"/>
          <w:szCs w:val="24"/>
          <w:lang w:val="lt-LT"/>
        </w:rPr>
        <w:t xml:space="preserve"> </w:t>
      </w:r>
      <w:r w:rsidR="000F4998" w:rsidRPr="00DD1231">
        <w:rPr>
          <w:b w:val="0"/>
          <w:sz w:val="24"/>
          <w:szCs w:val="24"/>
          <w:lang w:val="lt-LT"/>
        </w:rPr>
        <w:t xml:space="preserve">VPĮ) </w:t>
      </w:r>
      <w:r w:rsidRPr="0022021A">
        <w:rPr>
          <w:b w:val="0"/>
          <w:sz w:val="24"/>
          <w:szCs w:val="24"/>
          <w:lang w:val="lt-LT"/>
        </w:rPr>
        <w:t>46 straipsnio 10 dalyje įtvirtintas tiekėjų patikimumo atkūrimo priemones, vis tiek yra šalinama iš pirkimo procedūrų.</w:t>
      </w:r>
      <w:r w:rsidR="006A68D1">
        <w:rPr>
          <w:b w:val="0"/>
          <w:sz w:val="24"/>
          <w:szCs w:val="24"/>
          <w:lang w:val="lt-LT"/>
        </w:rPr>
        <w:t xml:space="preserve"> </w:t>
      </w:r>
    </w:p>
    <w:p w14:paraId="01E8FBC1" w14:textId="291C7E6E" w:rsidR="00ED53DB" w:rsidRPr="00ED53DB" w:rsidRDefault="0099773F" w:rsidP="00ED53DB">
      <w:pPr>
        <w:pStyle w:val="BodyText"/>
        <w:ind w:firstLine="720"/>
        <w:jc w:val="both"/>
        <w:rPr>
          <w:b w:val="0"/>
          <w:sz w:val="24"/>
          <w:szCs w:val="24"/>
          <w:lang w:val="lt-LT"/>
        </w:rPr>
      </w:pPr>
      <w:r>
        <w:rPr>
          <w:b w:val="0"/>
          <w:sz w:val="24"/>
          <w:szCs w:val="24"/>
          <w:lang w:val="lt-LT"/>
        </w:rPr>
        <w:t xml:space="preserve">2024 m. balandžio 22 d. ieškovė </w:t>
      </w:r>
      <w:r w:rsidR="00DD1231">
        <w:rPr>
          <w:b w:val="0"/>
          <w:sz w:val="24"/>
          <w:szCs w:val="24"/>
          <w:lang w:val="lt-LT"/>
        </w:rPr>
        <w:t xml:space="preserve">antrą kartą </w:t>
      </w:r>
      <w:r>
        <w:rPr>
          <w:b w:val="0"/>
          <w:sz w:val="24"/>
          <w:szCs w:val="24"/>
          <w:lang w:val="lt-LT"/>
        </w:rPr>
        <w:t xml:space="preserve">pateikė prašymą taikyti </w:t>
      </w:r>
      <w:r w:rsidRPr="00BF6270">
        <w:rPr>
          <w:b w:val="0"/>
          <w:sz w:val="24"/>
          <w:szCs w:val="24"/>
          <w:lang w:val="lt-LT"/>
        </w:rPr>
        <w:t xml:space="preserve">laikinąsias apsaugos priemones </w:t>
      </w:r>
      <w:r>
        <w:rPr>
          <w:b w:val="0"/>
          <w:sz w:val="24"/>
          <w:szCs w:val="24"/>
          <w:lang w:val="lt-LT"/>
        </w:rPr>
        <w:t xml:space="preserve">– </w:t>
      </w:r>
      <w:r w:rsidRPr="00BF6270">
        <w:rPr>
          <w:b w:val="0"/>
          <w:sz w:val="24"/>
          <w:szCs w:val="24"/>
          <w:lang w:val="lt-LT"/>
        </w:rPr>
        <w:t xml:space="preserve">pašalinti </w:t>
      </w:r>
      <w:r>
        <w:rPr>
          <w:b w:val="0"/>
          <w:sz w:val="24"/>
          <w:szCs w:val="24"/>
          <w:lang w:val="lt-LT"/>
        </w:rPr>
        <w:t xml:space="preserve">ją </w:t>
      </w:r>
      <w:r w:rsidRPr="00BF6270">
        <w:rPr>
          <w:b w:val="0"/>
          <w:sz w:val="24"/>
          <w:szCs w:val="24"/>
          <w:lang w:val="lt-LT"/>
        </w:rPr>
        <w:t xml:space="preserve">iš </w:t>
      </w:r>
      <w:r>
        <w:rPr>
          <w:b w:val="0"/>
          <w:sz w:val="24"/>
          <w:szCs w:val="24"/>
          <w:lang w:val="lt-LT"/>
        </w:rPr>
        <w:t>M</w:t>
      </w:r>
      <w:r w:rsidRPr="00BF6270">
        <w:rPr>
          <w:b w:val="0"/>
          <w:sz w:val="24"/>
          <w:szCs w:val="24"/>
          <w:lang w:val="lt-LT"/>
        </w:rPr>
        <w:t xml:space="preserve">elagingą informaciją pateikusių tiekėjų </w:t>
      </w:r>
      <w:r>
        <w:rPr>
          <w:b w:val="0"/>
          <w:sz w:val="24"/>
          <w:szCs w:val="24"/>
          <w:lang w:val="lt-LT"/>
        </w:rPr>
        <w:t>s</w:t>
      </w:r>
      <w:r w:rsidRPr="00BF6270">
        <w:rPr>
          <w:b w:val="0"/>
          <w:sz w:val="24"/>
          <w:szCs w:val="24"/>
          <w:lang w:val="lt-LT"/>
        </w:rPr>
        <w:t>ąrašo iki byla bus išnagrinėta kasacine tvarka</w:t>
      </w:r>
      <w:r>
        <w:rPr>
          <w:b w:val="0"/>
          <w:sz w:val="24"/>
          <w:szCs w:val="24"/>
          <w:lang w:val="lt-LT"/>
        </w:rPr>
        <w:t xml:space="preserve">. </w:t>
      </w:r>
      <w:r w:rsidR="006A68D1">
        <w:rPr>
          <w:b w:val="0"/>
          <w:sz w:val="24"/>
          <w:szCs w:val="24"/>
          <w:lang w:val="lt-LT"/>
        </w:rPr>
        <w:t>Prašyme nurodoma, kad</w:t>
      </w:r>
      <w:r w:rsidR="009B7B37">
        <w:rPr>
          <w:b w:val="0"/>
          <w:sz w:val="24"/>
          <w:szCs w:val="24"/>
          <w:lang w:val="lt-LT"/>
        </w:rPr>
        <w:t>,</w:t>
      </w:r>
      <w:r w:rsidR="006A68D1">
        <w:rPr>
          <w:b w:val="0"/>
          <w:sz w:val="24"/>
          <w:szCs w:val="24"/>
          <w:lang w:val="lt-LT"/>
        </w:rPr>
        <w:t xml:space="preserve"> </w:t>
      </w:r>
      <w:r w:rsidR="002110C1" w:rsidRPr="002110C1">
        <w:rPr>
          <w:b w:val="0"/>
          <w:sz w:val="24"/>
          <w:szCs w:val="24"/>
          <w:lang w:val="lt-LT"/>
        </w:rPr>
        <w:t xml:space="preserve">įsiteisėjus </w:t>
      </w:r>
      <w:r w:rsidR="00691E0F">
        <w:rPr>
          <w:b w:val="0"/>
          <w:sz w:val="24"/>
          <w:szCs w:val="24"/>
          <w:lang w:val="lt-LT"/>
        </w:rPr>
        <w:t>skundžiamai apeliacinės instancijos teismo nutarčiai,</w:t>
      </w:r>
      <w:r w:rsidR="009B7B37">
        <w:rPr>
          <w:b w:val="0"/>
          <w:sz w:val="24"/>
          <w:szCs w:val="24"/>
          <w:lang w:val="lt-LT"/>
        </w:rPr>
        <w:t xml:space="preserve"> i</w:t>
      </w:r>
      <w:r w:rsidR="002110C1" w:rsidRPr="002110C1">
        <w:rPr>
          <w:b w:val="0"/>
          <w:sz w:val="24"/>
          <w:szCs w:val="24"/>
          <w:lang w:val="lt-LT"/>
        </w:rPr>
        <w:t>eškov</w:t>
      </w:r>
      <w:r w:rsidR="009B7B37">
        <w:rPr>
          <w:b w:val="0"/>
          <w:sz w:val="24"/>
          <w:szCs w:val="24"/>
          <w:lang w:val="lt-LT"/>
        </w:rPr>
        <w:t>ė</w:t>
      </w:r>
      <w:r w:rsidR="00965992">
        <w:rPr>
          <w:b w:val="0"/>
          <w:sz w:val="24"/>
          <w:szCs w:val="24"/>
          <w:lang w:val="lt-LT"/>
        </w:rPr>
        <w:t>,</w:t>
      </w:r>
      <w:r w:rsidR="002110C1" w:rsidRPr="002110C1">
        <w:rPr>
          <w:b w:val="0"/>
          <w:sz w:val="24"/>
          <w:szCs w:val="24"/>
          <w:lang w:val="lt-LT"/>
        </w:rPr>
        <w:t xml:space="preserve"> </w:t>
      </w:r>
      <w:r w:rsidR="00965992" w:rsidRPr="002110C1">
        <w:rPr>
          <w:b w:val="0"/>
          <w:sz w:val="24"/>
          <w:szCs w:val="24"/>
          <w:lang w:val="lt-LT"/>
        </w:rPr>
        <w:t>siekdama įrodyti savo patikimumą</w:t>
      </w:r>
      <w:r w:rsidR="00965992">
        <w:rPr>
          <w:b w:val="0"/>
          <w:sz w:val="24"/>
          <w:szCs w:val="24"/>
          <w:lang w:val="lt-LT"/>
        </w:rPr>
        <w:t xml:space="preserve">, </w:t>
      </w:r>
      <w:r w:rsidR="009B7B37">
        <w:rPr>
          <w:b w:val="0"/>
          <w:sz w:val="24"/>
          <w:szCs w:val="24"/>
          <w:lang w:val="lt-LT"/>
        </w:rPr>
        <w:t xml:space="preserve">įgyvendino </w:t>
      </w:r>
      <w:r w:rsidR="009B7B37" w:rsidRPr="0022021A">
        <w:rPr>
          <w:b w:val="0"/>
          <w:sz w:val="24"/>
          <w:szCs w:val="24"/>
          <w:lang w:val="lt-LT"/>
        </w:rPr>
        <w:t>VPĮ 46 straipsnio 10 dalyje įtvirtintas tiekėjų patikimumo atkūrimo priemones</w:t>
      </w:r>
      <w:r w:rsidR="002110C1" w:rsidRPr="002110C1">
        <w:rPr>
          <w:b w:val="0"/>
          <w:sz w:val="24"/>
          <w:szCs w:val="24"/>
          <w:lang w:val="lt-LT"/>
        </w:rPr>
        <w:t xml:space="preserve"> </w:t>
      </w:r>
      <w:r w:rsidR="009B7B37">
        <w:rPr>
          <w:b w:val="0"/>
          <w:sz w:val="24"/>
          <w:szCs w:val="24"/>
          <w:lang w:val="lt-LT"/>
        </w:rPr>
        <w:t>ir</w:t>
      </w:r>
      <w:r w:rsidR="002110C1" w:rsidRPr="002110C1">
        <w:rPr>
          <w:b w:val="0"/>
          <w:sz w:val="24"/>
          <w:szCs w:val="24"/>
          <w:lang w:val="lt-LT"/>
        </w:rPr>
        <w:t xml:space="preserve"> kituose viešuosiuose pirkimuose pateikė </w:t>
      </w:r>
      <w:r w:rsidR="009B7B37">
        <w:rPr>
          <w:b w:val="0"/>
          <w:sz w:val="24"/>
          <w:szCs w:val="24"/>
          <w:lang w:val="lt-LT"/>
        </w:rPr>
        <w:t xml:space="preserve">tai patvirtinančius </w:t>
      </w:r>
      <w:r w:rsidR="002110C1" w:rsidRPr="002110C1">
        <w:rPr>
          <w:b w:val="0"/>
          <w:sz w:val="24"/>
          <w:szCs w:val="24"/>
          <w:lang w:val="lt-LT"/>
        </w:rPr>
        <w:t>dokumentus</w:t>
      </w:r>
      <w:r w:rsidR="009B7B37">
        <w:rPr>
          <w:b w:val="0"/>
          <w:sz w:val="24"/>
          <w:szCs w:val="24"/>
          <w:lang w:val="lt-LT"/>
        </w:rPr>
        <w:t xml:space="preserve">, </w:t>
      </w:r>
      <w:r w:rsidR="002110C1" w:rsidRPr="002110C1">
        <w:rPr>
          <w:b w:val="0"/>
          <w:sz w:val="24"/>
          <w:szCs w:val="24"/>
          <w:lang w:val="lt-LT"/>
        </w:rPr>
        <w:t>prašy</w:t>
      </w:r>
      <w:r w:rsidR="009B7B37">
        <w:rPr>
          <w:b w:val="0"/>
          <w:sz w:val="24"/>
          <w:szCs w:val="24"/>
          <w:lang w:val="lt-LT"/>
        </w:rPr>
        <w:t xml:space="preserve">dama </w:t>
      </w:r>
      <w:r w:rsidR="002110C1" w:rsidRPr="002110C1">
        <w:rPr>
          <w:b w:val="0"/>
          <w:sz w:val="24"/>
          <w:szCs w:val="24"/>
          <w:lang w:val="lt-LT"/>
        </w:rPr>
        <w:t xml:space="preserve">pripažinti </w:t>
      </w:r>
      <w:r w:rsidR="009B7B37">
        <w:rPr>
          <w:b w:val="0"/>
          <w:sz w:val="24"/>
          <w:szCs w:val="24"/>
          <w:lang w:val="lt-LT"/>
        </w:rPr>
        <w:t>ją</w:t>
      </w:r>
      <w:r w:rsidR="002110C1" w:rsidRPr="002110C1">
        <w:rPr>
          <w:b w:val="0"/>
          <w:sz w:val="24"/>
          <w:szCs w:val="24"/>
          <w:lang w:val="lt-LT"/>
        </w:rPr>
        <w:t xml:space="preserve"> patikim</w:t>
      </w:r>
      <w:r w:rsidR="009B7B37">
        <w:rPr>
          <w:b w:val="0"/>
          <w:sz w:val="24"/>
          <w:szCs w:val="24"/>
          <w:lang w:val="lt-LT"/>
        </w:rPr>
        <w:t>a</w:t>
      </w:r>
      <w:r w:rsidR="002110C1" w:rsidRPr="002110C1">
        <w:rPr>
          <w:b w:val="0"/>
          <w:sz w:val="24"/>
          <w:szCs w:val="24"/>
          <w:lang w:val="lt-LT"/>
        </w:rPr>
        <w:t xml:space="preserve"> tiekėj</w:t>
      </w:r>
      <w:r w:rsidR="009B7B37">
        <w:rPr>
          <w:b w:val="0"/>
          <w:sz w:val="24"/>
          <w:szCs w:val="24"/>
          <w:lang w:val="lt-LT"/>
        </w:rPr>
        <w:t xml:space="preserve">a ir </w:t>
      </w:r>
      <w:r w:rsidR="002110C1" w:rsidRPr="002110C1">
        <w:rPr>
          <w:b w:val="0"/>
          <w:sz w:val="24"/>
          <w:szCs w:val="24"/>
          <w:lang w:val="lt-LT"/>
        </w:rPr>
        <w:t xml:space="preserve">neatmesti </w:t>
      </w:r>
      <w:r w:rsidR="009B7B37">
        <w:rPr>
          <w:b w:val="0"/>
          <w:sz w:val="24"/>
          <w:szCs w:val="24"/>
          <w:lang w:val="lt-LT"/>
        </w:rPr>
        <w:t>jos</w:t>
      </w:r>
      <w:r w:rsidR="002110C1" w:rsidRPr="002110C1">
        <w:rPr>
          <w:b w:val="0"/>
          <w:sz w:val="24"/>
          <w:szCs w:val="24"/>
          <w:lang w:val="lt-LT"/>
        </w:rPr>
        <w:t xml:space="preserve"> pasiūlymo.</w:t>
      </w:r>
      <w:r w:rsidR="009B7B37">
        <w:rPr>
          <w:b w:val="0"/>
          <w:sz w:val="24"/>
          <w:szCs w:val="24"/>
          <w:lang w:val="lt-LT"/>
        </w:rPr>
        <w:t xml:space="preserve"> Tačiau </w:t>
      </w:r>
      <w:r w:rsidR="002110C1" w:rsidRPr="002110C1">
        <w:rPr>
          <w:b w:val="0"/>
          <w:sz w:val="24"/>
          <w:szCs w:val="24"/>
          <w:lang w:val="lt-LT"/>
        </w:rPr>
        <w:t>perkančiosios organizacijos skirtingai vertin</w:t>
      </w:r>
      <w:r w:rsidR="00ED53DB">
        <w:rPr>
          <w:b w:val="0"/>
          <w:sz w:val="24"/>
          <w:szCs w:val="24"/>
          <w:lang w:val="lt-LT"/>
        </w:rPr>
        <w:t>a</w:t>
      </w:r>
      <w:r w:rsidR="002110C1" w:rsidRPr="002110C1">
        <w:rPr>
          <w:b w:val="0"/>
          <w:sz w:val="24"/>
          <w:szCs w:val="24"/>
          <w:lang w:val="lt-LT"/>
        </w:rPr>
        <w:t xml:space="preserve"> </w:t>
      </w:r>
      <w:r w:rsidR="009B7B37">
        <w:rPr>
          <w:b w:val="0"/>
          <w:sz w:val="24"/>
          <w:szCs w:val="24"/>
          <w:lang w:val="lt-LT"/>
        </w:rPr>
        <w:t xml:space="preserve">jos </w:t>
      </w:r>
      <w:r w:rsidR="00965992">
        <w:rPr>
          <w:b w:val="0"/>
          <w:sz w:val="24"/>
          <w:szCs w:val="24"/>
          <w:lang w:val="lt-LT"/>
        </w:rPr>
        <w:t>patikimum</w:t>
      </w:r>
      <w:r w:rsidR="00ED53DB">
        <w:rPr>
          <w:b w:val="0"/>
          <w:sz w:val="24"/>
          <w:szCs w:val="24"/>
          <w:lang w:val="lt-LT"/>
        </w:rPr>
        <w:t>ą</w:t>
      </w:r>
      <w:r w:rsidR="002110C1" w:rsidRPr="002110C1">
        <w:rPr>
          <w:b w:val="0"/>
          <w:sz w:val="24"/>
          <w:szCs w:val="24"/>
          <w:lang w:val="lt-LT"/>
        </w:rPr>
        <w:t xml:space="preserve"> ir pri</w:t>
      </w:r>
      <w:r w:rsidR="00ED53DB">
        <w:rPr>
          <w:b w:val="0"/>
          <w:sz w:val="24"/>
          <w:szCs w:val="24"/>
          <w:lang w:val="lt-LT"/>
        </w:rPr>
        <w:t xml:space="preserve">ima </w:t>
      </w:r>
      <w:r w:rsidR="002110C1" w:rsidRPr="002110C1">
        <w:rPr>
          <w:b w:val="0"/>
          <w:sz w:val="24"/>
          <w:szCs w:val="24"/>
          <w:lang w:val="lt-LT"/>
        </w:rPr>
        <w:t>skirtingus sprendimus</w:t>
      </w:r>
      <w:r w:rsidR="00965992">
        <w:rPr>
          <w:b w:val="0"/>
          <w:sz w:val="24"/>
          <w:szCs w:val="24"/>
          <w:lang w:val="lt-LT"/>
        </w:rPr>
        <w:t xml:space="preserve">. </w:t>
      </w:r>
      <w:r w:rsidR="002110C1" w:rsidRPr="002110C1">
        <w:rPr>
          <w:b w:val="0"/>
          <w:sz w:val="24"/>
          <w:szCs w:val="24"/>
          <w:lang w:val="lt-LT"/>
        </w:rPr>
        <w:t>AB „Kelių priežiūra“ viešojo pirkimo komisija</w:t>
      </w:r>
      <w:r w:rsidR="00965992">
        <w:rPr>
          <w:b w:val="0"/>
          <w:sz w:val="24"/>
          <w:szCs w:val="24"/>
          <w:lang w:val="lt-LT"/>
        </w:rPr>
        <w:t xml:space="preserve"> </w:t>
      </w:r>
      <w:r w:rsidR="002110C1" w:rsidRPr="002110C1">
        <w:rPr>
          <w:b w:val="0"/>
          <w:sz w:val="24"/>
          <w:szCs w:val="24"/>
          <w:lang w:val="lt-LT"/>
        </w:rPr>
        <w:t>nepašalin</w:t>
      </w:r>
      <w:r w:rsidR="00965992">
        <w:rPr>
          <w:b w:val="0"/>
          <w:sz w:val="24"/>
          <w:szCs w:val="24"/>
          <w:lang w:val="lt-LT"/>
        </w:rPr>
        <w:t xml:space="preserve">o ieškovės </w:t>
      </w:r>
      <w:r w:rsidR="002110C1" w:rsidRPr="002110C1">
        <w:rPr>
          <w:b w:val="0"/>
          <w:sz w:val="24"/>
          <w:szCs w:val="24"/>
          <w:lang w:val="lt-LT"/>
        </w:rPr>
        <w:t xml:space="preserve">iš </w:t>
      </w:r>
      <w:r w:rsidR="00965992">
        <w:rPr>
          <w:b w:val="0"/>
          <w:sz w:val="24"/>
          <w:szCs w:val="24"/>
          <w:lang w:val="lt-LT"/>
        </w:rPr>
        <w:t>p</w:t>
      </w:r>
      <w:r w:rsidR="002110C1" w:rsidRPr="002110C1">
        <w:rPr>
          <w:b w:val="0"/>
          <w:sz w:val="24"/>
          <w:szCs w:val="24"/>
          <w:lang w:val="lt-LT"/>
        </w:rPr>
        <w:t>irkimo procedūros</w:t>
      </w:r>
      <w:r w:rsidR="00965992">
        <w:rPr>
          <w:b w:val="0"/>
          <w:sz w:val="24"/>
          <w:szCs w:val="24"/>
          <w:lang w:val="lt-LT"/>
        </w:rPr>
        <w:t xml:space="preserve">, </w:t>
      </w:r>
      <w:r w:rsidR="00ED53DB">
        <w:rPr>
          <w:b w:val="0"/>
          <w:sz w:val="24"/>
          <w:szCs w:val="24"/>
          <w:lang w:val="lt-LT"/>
        </w:rPr>
        <w:t xml:space="preserve">o </w:t>
      </w:r>
      <w:r w:rsidR="00965992" w:rsidRPr="002110C1">
        <w:rPr>
          <w:b w:val="0"/>
          <w:sz w:val="24"/>
          <w:szCs w:val="24"/>
          <w:lang w:val="lt-LT"/>
        </w:rPr>
        <w:t>Infrastruktūros valdymo agentūros viešojo pirkimo komisija</w:t>
      </w:r>
      <w:r w:rsidR="00965992">
        <w:rPr>
          <w:b w:val="0"/>
          <w:sz w:val="24"/>
          <w:szCs w:val="24"/>
          <w:lang w:val="lt-LT"/>
        </w:rPr>
        <w:t xml:space="preserve"> nusprendė, kad ieškovė </w:t>
      </w:r>
      <w:r w:rsidR="002110C1" w:rsidRPr="002110C1">
        <w:rPr>
          <w:b w:val="0"/>
          <w:sz w:val="24"/>
          <w:szCs w:val="24"/>
          <w:lang w:val="lt-LT"/>
        </w:rPr>
        <w:t>neįrodė VPĮ 46 str</w:t>
      </w:r>
      <w:r w:rsidR="00965992">
        <w:rPr>
          <w:b w:val="0"/>
          <w:sz w:val="24"/>
          <w:szCs w:val="24"/>
          <w:lang w:val="lt-LT"/>
        </w:rPr>
        <w:t>aipsnio</w:t>
      </w:r>
      <w:r w:rsidR="002110C1" w:rsidRPr="002110C1">
        <w:rPr>
          <w:b w:val="0"/>
          <w:sz w:val="24"/>
          <w:szCs w:val="24"/>
          <w:lang w:val="lt-LT"/>
        </w:rPr>
        <w:t xml:space="preserve"> 10 d</w:t>
      </w:r>
      <w:r w:rsidR="00965992">
        <w:rPr>
          <w:b w:val="0"/>
          <w:sz w:val="24"/>
          <w:szCs w:val="24"/>
          <w:lang w:val="lt-LT"/>
        </w:rPr>
        <w:t xml:space="preserve">alyje </w:t>
      </w:r>
      <w:r w:rsidR="002110C1" w:rsidRPr="002110C1">
        <w:rPr>
          <w:b w:val="0"/>
          <w:sz w:val="24"/>
          <w:szCs w:val="24"/>
          <w:lang w:val="lt-LT"/>
        </w:rPr>
        <w:t xml:space="preserve">numatytų sąlygų, todėl </w:t>
      </w:r>
      <w:r w:rsidR="00965992">
        <w:rPr>
          <w:b w:val="0"/>
          <w:sz w:val="24"/>
          <w:szCs w:val="24"/>
          <w:lang w:val="lt-LT"/>
        </w:rPr>
        <w:t xml:space="preserve">jos </w:t>
      </w:r>
      <w:r w:rsidR="002110C1" w:rsidRPr="002110C1">
        <w:rPr>
          <w:b w:val="0"/>
          <w:sz w:val="24"/>
          <w:szCs w:val="24"/>
          <w:lang w:val="lt-LT"/>
        </w:rPr>
        <w:t>pasiūlymą atmetė</w:t>
      </w:r>
      <w:r w:rsidR="00965992">
        <w:rPr>
          <w:b w:val="0"/>
          <w:sz w:val="24"/>
          <w:szCs w:val="24"/>
          <w:lang w:val="lt-LT"/>
        </w:rPr>
        <w:t xml:space="preserve">. Taigi, </w:t>
      </w:r>
      <w:r w:rsidR="002110C1" w:rsidRPr="002110C1">
        <w:rPr>
          <w:b w:val="0"/>
          <w:sz w:val="24"/>
          <w:szCs w:val="24"/>
          <w:lang w:val="lt-LT"/>
        </w:rPr>
        <w:t>ieškov</w:t>
      </w:r>
      <w:r w:rsidR="00ED53DB">
        <w:rPr>
          <w:b w:val="0"/>
          <w:sz w:val="24"/>
          <w:szCs w:val="24"/>
          <w:lang w:val="lt-LT"/>
        </w:rPr>
        <w:t xml:space="preserve">ei net ir </w:t>
      </w:r>
      <w:r w:rsidR="002110C1" w:rsidRPr="002110C1">
        <w:rPr>
          <w:b w:val="0"/>
          <w:sz w:val="24"/>
          <w:szCs w:val="24"/>
          <w:lang w:val="lt-LT"/>
        </w:rPr>
        <w:t>įgyvendin</w:t>
      </w:r>
      <w:r w:rsidR="00ED53DB">
        <w:rPr>
          <w:b w:val="0"/>
          <w:sz w:val="24"/>
          <w:szCs w:val="24"/>
          <w:lang w:val="lt-LT"/>
        </w:rPr>
        <w:t>us</w:t>
      </w:r>
      <w:r w:rsidR="002110C1" w:rsidRPr="002110C1">
        <w:rPr>
          <w:b w:val="0"/>
          <w:sz w:val="24"/>
          <w:szCs w:val="24"/>
          <w:lang w:val="lt-LT"/>
        </w:rPr>
        <w:t xml:space="preserve"> patikimumo atkūrimo priemones, </w:t>
      </w:r>
      <w:r w:rsidR="00ED53DB">
        <w:rPr>
          <w:b w:val="0"/>
          <w:sz w:val="24"/>
          <w:szCs w:val="24"/>
          <w:lang w:val="lt-LT"/>
        </w:rPr>
        <w:t xml:space="preserve">ji </w:t>
      </w:r>
      <w:r w:rsidR="002110C1" w:rsidRPr="002110C1">
        <w:rPr>
          <w:b w:val="0"/>
          <w:sz w:val="24"/>
          <w:szCs w:val="24"/>
          <w:lang w:val="lt-LT"/>
        </w:rPr>
        <w:t>vis tiek šalinama iš pirkimo procedūrų</w:t>
      </w:r>
      <w:r w:rsidR="00ED53DB">
        <w:rPr>
          <w:b w:val="0"/>
          <w:sz w:val="24"/>
          <w:szCs w:val="24"/>
          <w:lang w:val="lt-LT"/>
        </w:rPr>
        <w:t>.</w:t>
      </w:r>
      <w:r w:rsidR="002110C1" w:rsidRPr="002110C1">
        <w:rPr>
          <w:b w:val="0"/>
          <w:sz w:val="24"/>
          <w:szCs w:val="24"/>
          <w:lang w:val="lt-LT"/>
        </w:rPr>
        <w:t xml:space="preserve"> </w:t>
      </w:r>
      <w:r w:rsidR="00624187">
        <w:rPr>
          <w:b w:val="0"/>
          <w:sz w:val="24"/>
          <w:szCs w:val="24"/>
          <w:lang w:val="lt-LT"/>
        </w:rPr>
        <w:t>Netaikius laikinųjų apsaugos priemonių ir l</w:t>
      </w:r>
      <w:r w:rsidR="00ED53DB">
        <w:rPr>
          <w:b w:val="0"/>
          <w:sz w:val="24"/>
          <w:szCs w:val="24"/>
          <w:lang w:val="lt-LT"/>
        </w:rPr>
        <w:t xml:space="preserve">aikinai nepašalinus ieškovės </w:t>
      </w:r>
      <w:r w:rsidR="00ED53DB" w:rsidRPr="00BF6270">
        <w:rPr>
          <w:b w:val="0"/>
          <w:sz w:val="24"/>
          <w:szCs w:val="24"/>
          <w:lang w:val="lt-LT"/>
        </w:rPr>
        <w:t xml:space="preserve">iš </w:t>
      </w:r>
      <w:r w:rsidR="00ED53DB">
        <w:rPr>
          <w:b w:val="0"/>
          <w:sz w:val="24"/>
          <w:szCs w:val="24"/>
          <w:lang w:val="lt-LT"/>
        </w:rPr>
        <w:t>M</w:t>
      </w:r>
      <w:r w:rsidR="00ED53DB" w:rsidRPr="00BF6270">
        <w:rPr>
          <w:b w:val="0"/>
          <w:sz w:val="24"/>
          <w:szCs w:val="24"/>
          <w:lang w:val="lt-LT"/>
        </w:rPr>
        <w:t xml:space="preserve">elagingą informaciją pateikusių tiekėjų </w:t>
      </w:r>
      <w:r w:rsidR="00ED53DB">
        <w:rPr>
          <w:b w:val="0"/>
          <w:sz w:val="24"/>
          <w:szCs w:val="24"/>
          <w:lang w:val="lt-LT"/>
        </w:rPr>
        <w:t>s</w:t>
      </w:r>
      <w:r w:rsidR="00ED53DB" w:rsidRPr="00BF6270">
        <w:rPr>
          <w:b w:val="0"/>
          <w:sz w:val="24"/>
          <w:szCs w:val="24"/>
          <w:lang w:val="lt-LT"/>
        </w:rPr>
        <w:t>ąrašo</w:t>
      </w:r>
      <w:r w:rsidR="00ED53DB">
        <w:rPr>
          <w:b w:val="0"/>
          <w:sz w:val="24"/>
          <w:szCs w:val="24"/>
          <w:lang w:val="lt-LT"/>
        </w:rPr>
        <w:t xml:space="preserve">, o kasaciniam teismui galimai </w:t>
      </w:r>
      <w:r w:rsidR="00ED53DB" w:rsidRPr="00BF6270">
        <w:rPr>
          <w:b w:val="0"/>
          <w:sz w:val="24"/>
          <w:szCs w:val="24"/>
          <w:lang w:val="lt-LT"/>
        </w:rPr>
        <w:t xml:space="preserve"> </w:t>
      </w:r>
      <w:r w:rsidR="00ED53DB">
        <w:rPr>
          <w:b w:val="0"/>
          <w:sz w:val="24"/>
          <w:szCs w:val="24"/>
          <w:lang w:val="lt-LT"/>
        </w:rPr>
        <w:t xml:space="preserve">patenkinus jos </w:t>
      </w:r>
      <w:r w:rsidR="002110C1" w:rsidRPr="002110C1">
        <w:rPr>
          <w:b w:val="0"/>
          <w:sz w:val="24"/>
          <w:szCs w:val="24"/>
          <w:lang w:val="lt-LT"/>
        </w:rPr>
        <w:t>kasacin</w:t>
      </w:r>
      <w:r w:rsidR="00ED53DB">
        <w:rPr>
          <w:b w:val="0"/>
          <w:sz w:val="24"/>
          <w:szCs w:val="24"/>
          <w:lang w:val="lt-LT"/>
        </w:rPr>
        <w:t>į</w:t>
      </w:r>
      <w:r w:rsidR="002110C1" w:rsidRPr="002110C1">
        <w:rPr>
          <w:b w:val="0"/>
          <w:sz w:val="24"/>
          <w:szCs w:val="24"/>
          <w:lang w:val="lt-LT"/>
        </w:rPr>
        <w:t xml:space="preserve"> skund</w:t>
      </w:r>
      <w:r w:rsidR="00ED53DB">
        <w:rPr>
          <w:b w:val="0"/>
          <w:sz w:val="24"/>
          <w:szCs w:val="24"/>
          <w:lang w:val="lt-LT"/>
        </w:rPr>
        <w:t xml:space="preserve">ą, </w:t>
      </w:r>
      <w:r w:rsidR="002110C1" w:rsidRPr="002110C1">
        <w:rPr>
          <w:b w:val="0"/>
          <w:sz w:val="24"/>
          <w:szCs w:val="24"/>
          <w:lang w:val="lt-LT"/>
        </w:rPr>
        <w:t xml:space="preserve">būtų apsunkintas </w:t>
      </w:r>
      <w:r w:rsidR="00ED53DB">
        <w:rPr>
          <w:b w:val="0"/>
          <w:sz w:val="24"/>
          <w:szCs w:val="24"/>
          <w:lang w:val="lt-LT"/>
        </w:rPr>
        <w:t xml:space="preserve">būsimo </w:t>
      </w:r>
      <w:r w:rsidR="002110C1" w:rsidRPr="002110C1">
        <w:rPr>
          <w:b w:val="0"/>
          <w:sz w:val="24"/>
          <w:szCs w:val="24"/>
          <w:lang w:val="lt-LT"/>
        </w:rPr>
        <w:t xml:space="preserve">teismo </w:t>
      </w:r>
      <w:r w:rsidR="002110C1" w:rsidRPr="002110C1">
        <w:rPr>
          <w:b w:val="0"/>
          <w:sz w:val="24"/>
          <w:szCs w:val="24"/>
          <w:lang w:val="lt-LT"/>
        </w:rPr>
        <w:lastRenderedPageBreak/>
        <w:t>sprendimo vykdymas</w:t>
      </w:r>
      <w:r w:rsidR="00DD1231">
        <w:rPr>
          <w:b w:val="0"/>
          <w:sz w:val="24"/>
          <w:szCs w:val="24"/>
          <w:lang w:val="lt-LT"/>
        </w:rPr>
        <w:t>, o</w:t>
      </w:r>
      <w:r w:rsidR="00624187">
        <w:rPr>
          <w:b w:val="0"/>
          <w:sz w:val="24"/>
          <w:szCs w:val="24"/>
          <w:lang w:val="lt-LT"/>
        </w:rPr>
        <w:t xml:space="preserve"> </w:t>
      </w:r>
      <w:r w:rsidR="00DD1231">
        <w:rPr>
          <w:b w:val="0"/>
          <w:sz w:val="24"/>
          <w:szCs w:val="24"/>
          <w:lang w:val="lt-LT"/>
        </w:rPr>
        <w:t>ieškov</w:t>
      </w:r>
      <w:r w:rsidR="00056221">
        <w:rPr>
          <w:b w:val="0"/>
          <w:sz w:val="24"/>
          <w:szCs w:val="24"/>
          <w:lang w:val="lt-LT"/>
        </w:rPr>
        <w:t xml:space="preserve">ė patirtų neigiamas pasekmes (apribojimą dalyvauti viešuosiuose pirkimuose, gauti pajamas). </w:t>
      </w:r>
      <w:r w:rsidR="002D615C">
        <w:rPr>
          <w:b w:val="0"/>
          <w:sz w:val="24"/>
          <w:szCs w:val="24"/>
          <w:lang w:val="lt-LT"/>
        </w:rPr>
        <w:t xml:space="preserve">Prie prašymo ieškovė pridėjo Infrastruktūros valdymo agentūros viešojo pirkimo komisijos 2024 m. balandžio 16 d. sprendimą dėl </w:t>
      </w:r>
      <w:r w:rsidR="00056221">
        <w:rPr>
          <w:b w:val="0"/>
          <w:sz w:val="24"/>
          <w:szCs w:val="24"/>
          <w:lang w:val="lt-LT"/>
        </w:rPr>
        <w:t>jos</w:t>
      </w:r>
      <w:r w:rsidR="002D615C">
        <w:rPr>
          <w:b w:val="0"/>
          <w:sz w:val="24"/>
          <w:szCs w:val="24"/>
          <w:lang w:val="lt-LT"/>
        </w:rPr>
        <w:t xml:space="preserve"> pasiūlymo atmetimo.</w:t>
      </w:r>
    </w:p>
    <w:p w14:paraId="5B0AD0F3" w14:textId="5E44EB9D" w:rsidR="004E3660" w:rsidRDefault="004E3660" w:rsidP="004E3660">
      <w:pPr>
        <w:pStyle w:val="BodyText"/>
        <w:tabs>
          <w:tab w:val="left" w:pos="709"/>
        </w:tabs>
        <w:jc w:val="both"/>
        <w:rPr>
          <w:b w:val="0"/>
          <w:sz w:val="24"/>
          <w:szCs w:val="24"/>
          <w:lang w:val="lt-LT"/>
        </w:rPr>
      </w:pPr>
      <w:r>
        <w:rPr>
          <w:b w:val="0"/>
          <w:sz w:val="24"/>
          <w:szCs w:val="24"/>
          <w:lang w:val="lt-LT"/>
        </w:rPr>
        <w:tab/>
        <w:t xml:space="preserve">Atrankos kolegija nurodo, kad pagal </w:t>
      </w:r>
      <w:r w:rsidRPr="008048BC">
        <w:rPr>
          <w:b w:val="0"/>
          <w:sz w:val="24"/>
          <w:szCs w:val="24"/>
          <w:lang w:val="lt-LT"/>
        </w:rPr>
        <w:t>CPK 144 straipsnio 1 dal</w:t>
      </w:r>
      <w:r>
        <w:rPr>
          <w:b w:val="0"/>
          <w:sz w:val="24"/>
          <w:szCs w:val="24"/>
          <w:lang w:val="lt-LT"/>
        </w:rPr>
        <w:t xml:space="preserve">į </w:t>
      </w:r>
      <w:r w:rsidRPr="008048BC">
        <w:rPr>
          <w:b w:val="0"/>
          <w:sz w:val="24"/>
          <w:szCs w:val="24"/>
          <w:lang w:val="lt-LT"/>
        </w:rPr>
        <w:t xml:space="preserve">teismas dalyvaujančių byloje ar kitų suinteresuotų asmenų prašymu gali taikyti laikinąsias apsaugos priemones, jeigu šie asmenys tikėtinai pagrindžia savo ieškinio reikalavimą ir nesiėmus šių priemonių teismo sprendimo įvykdymas gali pasunkėti arba pasidaryti nebeįmanomas. </w:t>
      </w:r>
      <w:r>
        <w:rPr>
          <w:b w:val="0"/>
          <w:sz w:val="24"/>
          <w:szCs w:val="24"/>
          <w:lang w:val="lt-LT"/>
        </w:rPr>
        <w:t>Remiantis CPK 145 straipsnio 1 dalies 13 punktu l</w:t>
      </w:r>
      <w:r w:rsidRPr="00571768">
        <w:rPr>
          <w:b w:val="0"/>
          <w:sz w:val="24"/>
          <w:szCs w:val="24"/>
          <w:lang w:val="lt-LT"/>
        </w:rPr>
        <w:t>aikinosi</w:t>
      </w:r>
      <w:r>
        <w:rPr>
          <w:b w:val="0"/>
          <w:sz w:val="24"/>
          <w:szCs w:val="24"/>
          <w:lang w:val="lt-LT"/>
        </w:rPr>
        <w:t xml:space="preserve">os apsaugos priemonės gali būti ir </w:t>
      </w:r>
      <w:r w:rsidRPr="00571768">
        <w:rPr>
          <w:b w:val="0"/>
          <w:sz w:val="24"/>
          <w:szCs w:val="24"/>
          <w:lang w:val="lt-LT"/>
        </w:rPr>
        <w:t>kitos įstatymuose numatytos ar teismo pritaikytos priemonės, kurių nesiėmus teismo sprendimo įvykdymas gali pasunkėti ar pasidaryti nebeįmanomas.</w:t>
      </w:r>
      <w:r>
        <w:rPr>
          <w:b w:val="0"/>
          <w:sz w:val="24"/>
          <w:szCs w:val="24"/>
          <w:lang w:val="lt-LT"/>
        </w:rPr>
        <w:t xml:space="preserve"> Šioje byloje yra kilęs</w:t>
      </w:r>
      <w:r w:rsidRPr="008048BC">
        <w:rPr>
          <w:b w:val="0"/>
          <w:sz w:val="24"/>
          <w:szCs w:val="24"/>
          <w:lang w:val="lt-LT"/>
        </w:rPr>
        <w:t xml:space="preserve"> ginčas</w:t>
      </w:r>
      <w:r>
        <w:rPr>
          <w:b w:val="0"/>
          <w:sz w:val="24"/>
          <w:szCs w:val="24"/>
          <w:lang w:val="lt-LT"/>
        </w:rPr>
        <w:t xml:space="preserve"> dėl perkančiosios organizacijos sprendimo atmesti tiekėjo pasiūlymą ir įrašyti jį į Melagingą informaciją pateikusių tiekėjų sąrašą, panaikinimo,</w:t>
      </w:r>
      <w:r w:rsidRPr="008048BC">
        <w:rPr>
          <w:b w:val="0"/>
          <w:sz w:val="24"/>
          <w:szCs w:val="24"/>
          <w:lang w:val="lt-LT"/>
        </w:rPr>
        <w:t xml:space="preserve"> </w:t>
      </w:r>
      <w:r>
        <w:rPr>
          <w:b w:val="0"/>
          <w:sz w:val="24"/>
          <w:szCs w:val="24"/>
          <w:lang w:val="lt-LT"/>
        </w:rPr>
        <w:t xml:space="preserve">todėl </w:t>
      </w:r>
      <w:r w:rsidRPr="008048BC">
        <w:rPr>
          <w:b w:val="0"/>
          <w:sz w:val="24"/>
          <w:szCs w:val="24"/>
          <w:lang w:val="lt-LT"/>
        </w:rPr>
        <w:t>sprendžiant laikinųjų apsaugos priemonių taikymo klausimą, atsižvelgtina ir į CPK 423</w:t>
      </w:r>
      <w:r w:rsidRPr="00AC4E68">
        <w:rPr>
          <w:b w:val="0"/>
          <w:sz w:val="24"/>
          <w:szCs w:val="24"/>
          <w:vertAlign w:val="superscript"/>
          <w:lang w:val="lt-LT"/>
        </w:rPr>
        <w:t>7</w:t>
      </w:r>
      <w:r w:rsidRPr="008048BC">
        <w:rPr>
          <w:b w:val="0"/>
          <w:sz w:val="24"/>
          <w:szCs w:val="24"/>
          <w:lang w:val="lt-LT"/>
        </w:rPr>
        <w:t xml:space="preserve"> straipsnio 1 dalį, pagal kurią viešųjų pirkimų bylose laikinąsias apsaugos priemones teismas privalo taikyti vadovaudamasis ekonomiškumo, efektyvumo ir proporcingumo principais bei viešuoju interesu. </w:t>
      </w:r>
      <w:r>
        <w:rPr>
          <w:b w:val="0"/>
          <w:sz w:val="24"/>
          <w:szCs w:val="24"/>
          <w:lang w:val="lt-LT"/>
        </w:rPr>
        <w:t>T</w:t>
      </w:r>
      <w:r w:rsidRPr="008048BC">
        <w:rPr>
          <w:b w:val="0"/>
          <w:sz w:val="24"/>
          <w:szCs w:val="24"/>
          <w:lang w:val="lt-LT"/>
        </w:rPr>
        <w:t>eismas gali netaikyti laikinųjų apsaugos priemonių, jeigu jų neigiamos pasekmės galėtų viršyti jų teikiamą naudą.</w:t>
      </w:r>
    </w:p>
    <w:p w14:paraId="5188A0A0" w14:textId="10111335" w:rsidR="004D644C" w:rsidRDefault="00753E2E" w:rsidP="004D644C">
      <w:pPr>
        <w:pStyle w:val="BodyText"/>
        <w:ind w:firstLine="720"/>
        <w:jc w:val="both"/>
        <w:rPr>
          <w:b w:val="0"/>
          <w:sz w:val="24"/>
          <w:szCs w:val="24"/>
          <w:lang w:val="lt-LT"/>
        </w:rPr>
      </w:pPr>
      <w:r>
        <w:rPr>
          <w:b w:val="0"/>
          <w:sz w:val="24"/>
          <w:szCs w:val="24"/>
          <w:lang w:val="lt-LT"/>
        </w:rPr>
        <w:t>Nagrinėjamoje byloje Vilniaus apygardos teismas 2023 m. spalio 27 d. nutartimi</w:t>
      </w:r>
      <w:r w:rsidR="004D644C">
        <w:rPr>
          <w:b w:val="0"/>
          <w:sz w:val="24"/>
          <w:szCs w:val="24"/>
          <w:lang w:val="lt-LT"/>
        </w:rPr>
        <w:t xml:space="preserve">, tenkindamas </w:t>
      </w:r>
      <w:r>
        <w:rPr>
          <w:b w:val="0"/>
          <w:sz w:val="24"/>
          <w:szCs w:val="24"/>
          <w:lang w:val="lt-LT"/>
        </w:rPr>
        <w:t xml:space="preserve"> </w:t>
      </w:r>
      <w:r w:rsidR="004D644C">
        <w:rPr>
          <w:b w:val="0"/>
          <w:sz w:val="24"/>
          <w:szCs w:val="24"/>
          <w:lang w:val="lt-LT"/>
        </w:rPr>
        <w:t>i</w:t>
      </w:r>
      <w:r w:rsidR="004D644C" w:rsidRPr="004D644C">
        <w:rPr>
          <w:b w:val="0"/>
          <w:sz w:val="24"/>
          <w:szCs w:val="24"/>
          <w:lang w:val="lt-LT"/>
        </w:rPr>
        <w:t>eškovės UAB „</w:t>
      </w:r>
      <w:proofErr w:type="spellStart"/>
      <w:r w:rsidR="004D644C" w:rsidRPr="004D644C">
        <w:rPr>
          <w:b w:val="0"/>
          <w:sz w:val="24"/>
          <w:szCs w:val="24"/>
          <w:lang w:val="lt-LT"/>
        </w:rPr>
        <w:t>Inti</w:t>
      </w:r>
      <w:proofErr w:type="spellEnd"/>
      <w:r w:rsidR="004D644C" w:rsidRPr="004D644C">
        <w:rPr>
          <w:b w:val="0"/>
          <w:sz w:val="24"/>
          <w:szCs w:val="24"/>
          <w:lang w:val="lt-LT"/>
        </w:rPr>
        <w:t>“ prašymą dėl laikin</w:t>
      </w:r>
      <w:r w:rsidR="004D644C">
        <w:rPr>
          <w:b w:val="0"/>
          <w:sz w:val="24"/>
          <w:szCs w:val="24"/>
          <w:lang w:val="lt-LT"/>
        </w:rPr>
        <w:t xml:space="preserve">ųjų </w:t>
      </w:r>
      <w:r w:rsidR="004D644C" w:rsidRPr="004D644C">
        <w:rPr>
          <w:b w:val="0"/>
          <w:sz w:val="24"/>
          <w:szCs w:val="24"/>
          <w:lang w:val="lt-LT"/>
        </w:rPr>
        <w:t>apsaugos priemon</w:t>
      </w:r>
      <w:r w:rsidR="004D644C">
        <w:rPr>
          <w:b w:val="0"/>
          <w:sz w:val="24"/>
          <w:szCs w:val="24"/>
          <w:lang w:val="lt-LT"/>
        </w:rPr>
        <w:t>ių</w:t>
      </w:r>
      <w:r w:rsidR="004D644C" w:rsidRPr="004D644C">
        <w:rPr>
          <w:b w:val="0"/>
          <w:sz w:val="24"/>
          <w:szCs w:val="24"/>
          <w:lang w:val="lt-LT"/>
        </w:rPr>
        <w:t xml:space="preserve"> taikymo</w:t>
      </w:r>
      <w:r w:rsidR="004D644C">
        <w:rPr>
          <w:b w:val="0"/>
          <w:sz w:val="24"/>
          <w:szCs w:val="24"/>
          <w:lang w:val="lt-LT"/>
        </w:rPr>
        <w:t>, p</w:t>
      </w:r>
      <w:r w:rsidR="004D644C" w:rsidRPr="004D644C">
        <w:rPr>
          <w:b w:val="0"/>
          <w:sz w:val="24"/>
          <w:szCs w:val="24"/>
          <w:lang w:val="lt-LT"/>
        </w:rPr>
        <w:t>ašalin</w:t>
      </w:r>
      <w:r w:rsidR="004D644C">
        <w:rPr>
          <w:b w:val="0"/>
          <w:sz w:val="24"/>
          <w:szCs w:val="24"/>
          <w:lang w:val="lt-LT"/>
        </w:rPr>
        <w:t>o</w:t>
      </w:r>
      <w:r w:rsidR="004D644C" w:rsidRPr="004D644C">
        <w:rPr>
          <w:b w:val="0"/>
          <w:sz w:val="24"/>
          <w:szCs w:val="24"/>
          <w:lang w:val="lt-LT"/>
        </w:rPr>
        <w:t xml:space="preserve"> ieškovę iš Melagingą informaciją pateikusių tiekėjų sąrašo iki galutinio teismo sprendimo byloje įsiteisėjimo dienos.</w:t>
      </w:r>
      <w:r w:rsidR="004D644C">
        <w:rPr>
          <w:b w:val="0"/>
          <w:sz w:val="24"/>
          <w:szCs w:val="24"/>
          <w:lang w:val="lt-LT"/>
        </w:rPr>
        <w:t xml:space="preserve"> </w:t>
      </w:r>
      <w:r w:rsidR="004D644C" w:rsidRPr="0022021A">
        <w:rPr>
          <w:b w:val="0"/>
          <w:sz w:val="24"/>
          <w:lang w:val="lt-LT"/>
        </w:rPr>
        <w:t>Lietuvos apeliacinio teismo Civilinių bylų skyriaus teisėjų kolegij</w:t>
      </w:r>
      <w:r w:rsidR="004D644C">
        <w:rPr>
          <w:b w:val="0"/>
          <w:sz w:val="24"/>
          <w:lang w:val="lt-LT"/>
        </w:rPr>
        <w:t>a</w:t>
      </w:r>
      <w:r w:rsidR="004D644C" w:rsidRPr="0022021A">
        <w:rPr>
          <w:b w:val="0"/>
          <w:sz w:val="24"/>
          <w:lang w:val="lt-LT"/>
        </w:rPr>
        <w:t xml:space="preserve"> 2024</w:t>
      </w:r>
      <w:r w:rsidR="004D644C">
        <w:rPr>
          <w:b w:val="0"/>
          <w:sz w:val="24"/>
          <w:lang w:val="lt-LT"/>
        </w:rPr>
        <w:t> </w:t>
      </w:r>
      <w:r w:rsidR="004D644C" w:rsidRPr="0022021A">
        <w:rPr>
          <w:b w:val="0"/>
          <w:sz w:val="24"/>
          <w:lang w:val="lt-LT"/>
        </w:rPr>
        <w:t xml:space="preserve">m. kovo 21 d. </w:t>
      </w:r>
      <w:r w:rsidR="00F664D2">
        <w:rPr>
          <w:b w:val="0"/>
          <w:sz w:val="24"/>
          <w:lang w:val="lt-LT"/>
        </w:rPr>
        <w:t xml:space="preserve">nutartimi palikdama nepakeistą pirmosios instancijos teismo sprendimą, kuriuo atmestas ieškinys, konstatavo, kad ieškovė pateikė melagingą informaciją apie savo kvalifikacija, todėl atsakovė AB „Lietuvos oro uostai“ pagrįstai atmetė jos pasiūlymą ir </w:t>
      </w:r>
      <w:r w:rsidR="00F664D2">
        <w:rPr>
          <w:b w:val="0"/>
          <w:sz w:val="24"/>
          <w:szCs w:val="24"/>
          <w:lang w:val="lt-LT"/>
        </w:rPr>
        <w:t xml:space="preserve">įtraukė į Melagingą informaciją pateikusių tiekėjų sąrašą. Apeliacinės instancijos teismui priėmus nutartį, neteko galios taikytos </w:t>
      </w:r>
      <w:r w:rsidR="004D644C">
        <w:rPr>
          <w:b w:val="0"/>
          <w:sz w:val="24"/>
          <w:lang w:val="lt-LT"/>
        </w:rPr>
        <w:t>laikinosios apsaugos priemonės</w:t>
      </w:r>
      <w:r w:rsidR="00F664D2">
        <w:rPr>
          <w:b w:val="0"/>
          <w:sz w:val="24"/>
          <w:lang w:val="lt-LT"/>
        </w:rPr>
        <w:t>.</w:t>
      </w:r>
      <w:r w:rsidR="004D644C">
        <w:rPr>
          <w:b w:val="0"/>
          <w:sz w:val="24"/>
          <w:lang w:val="lt-LT"/>
        </w:rPr>
        <w:t xml:space="preserve"> Ieškovei padavus kasacinį skundą </w:t>
      </w:r>
      <w:r w:rsidR="00696F5D">
        <w:rPr>
          <w:b w:val="0"/>
          <w:sz w:val="24"/>
          <w:lang w:val="lt-LT"/>
        </w:rPr>
        <w:t xml:space="preserve">ir </w:t>
      </w:r>
      <w:r w:rsidR="004D644C">
        <w:rPr>
          <w:b w:val="0"/>
          <w:sz w:val="24"/>
          <w:lang w:val="lt-LT"/>
        </w:rPr>
        <w:t>atrankos kolegija</w:t>
      </w:r>
      <w:r w:rsidR="00696F5D">
        <w:rPr>
          <w:b w:val="0"/>
          <w:sz w:val="24"/>
          <w:lang w:val="lt-LT"/>
        </w:rPr>
        <w:t>i jį priėmus</w:t>
      </w:r>
      <w:r w:rsidR="004D644C">
        <w:rPr>
          <w:b w:val="0"/>
          <w:sz w:val="24"/>
          <w:lang w:val="lt-LT"/>
        </w:rPr>
        <w:t>, ne</w:t>
      </w:r>
      <w:r w:rsidR="00696F5D">
        <w:rPr>
          <w:b w:val="0"/>
          <w:sz w:val="24"/>
          <w:lang w:val="lt-LT"/>
        </w:rPr>
        <w:t xml:space="preserve">buvo tenkintas </w:t>
      </w:r>
      <w:r w:rsidR="004D644C">
        <w:rPr>
          <w:b w:val="0"/>
          <w:sz w:val="24"/>
          <w:lang w:val="lt-LT"/>
        </w:rPr>
        <w:t>jos prašym</w:t>
      </w:r>
      <w:r w:rsidR="00696F5D">
        <w:rPr>
          <w:b w:val="0"/>
          <w:sz w:val="24"/>
          <w:lang w:val="lt-LT"/>
        </w:rPr>
        <w:t>as</w:t>
      </w:r>
      <w:r w:rsidR="004D644C">
        <w:rPr>
          <w:b w:val="0"/>
          <w:sz w:val="24"/>
          <w:lang w:val="lt-LT"/>
        </w:rPr>
        <w:t xml:space="preserve"> taikyti laikinąsias apsaugos priemonės, </w:t>
      </w:r>
      <w:r w:rsidR="00696F5D">
        <w:rPr>
          <w:b w:val="0"/>
          <w:sz w:val="24"/>
          <w:lang w:val="lt-LT"/>
        </w:rPr>
        <w:t>nes ji</w:t>
      </w:r>
      <w:r w:rsidR="004D644C" w:rsidRPr="0022021A">
        <w:rPr>
          <w:b w:val="0"/>
          <w:sz w:val="24"/>
          <w:szCs w:val="24"/>
          <w:lang w:val="lt-LT"/>
        </w:rPr>
        <w:t xml:space="preserve"> nepateikė konkrečių rašytinių įrodymų, kurie patvirtintų, kad ji negali dalyvauti kituose viešuosiuose pirkimuose arba ji, įgyvendindama</w:t>
      </w:r>
      <w:r w:rsidR="004D644C" w:rsidRPr="000F4998">
        <w:rPr>
          <w:b w:val="0"/>
          <w:sz w:val="24"/>
          <w:szCs w:val="24"/>
          <w:lang w:val="lt-LT"/>
        </w:rPr>
        <w:t xml:space="preserve"> </w:t>
      </w:r>
      <w:r w:rsidR="004D644C" w:rsidRPr="0022021A">
        <w:rPr>
          <w:b w:val="0"/>
          <w:sz w:val="24"/>
          <w:szCs w:val="24"/>
          <w:lang w:val="lt-LT"/>
        </w:rPr>
        <w:t>46 straipsnio 10 dalyje įtvirtintas tiekėjų patikimumo atkūrimo priemones, vis tiek yra šalinama iš pirkimo procedūrų.</w:t>
      </w:r>
      <w:r w:rsidR="004D644C">
        <w:rPr>
          <w:b w:val="0"/>
          <w:sz w:val="24"/>
          <w:szCs w:val="24"/>
          <w:lang w:val="lt-LT"/>
        </w:rPr>
        <w:t xml:space="preserve"> </w:t>
      </w:r>
    </w:p>
    <w:p w14:paraId="147782A1" w14:textId="5AF077FC" w:rsidR="000F4998" w:rsidRDefault="004D644C" w:rsidP="004D644C">
      <w:pPr>
        <w:pStyle w:val="BodyText"/>
        <w:tabs>
          <w:tab w:val="left" w:pos="709"/>
        </w:tabs>
        <w:jc w:val="both"/>
        <w:rPr>
          <w:b w:val="0"/>
          <w:sz w:val="24"/>
          <w:szCs w:val="24"/>
          <w:lang w:val="lt-LT"/>
        </w:rPr>
      </w:pPr>
      <w:r>
        <w:rPr>
          <w:b w:val="0"/>
          <w:sz w:val="24"/>
          <w:szCs w:val="24"/>
          <w:lang w:val="lt-LT"/>
        </w:rPr>
        <w:tab/>
      </w:r>
      <w:r w:rsidR="00696F5D">
        <w:rPr>
          <w:b w:val="0"/>
          <w:sz w:val="24"/>
          <w:szCs w:val="24"/>
          <w:lang w:val="lt-LT"/>
        </w:rPr>
        <w:t>Ieškovė antrą kartą prašy</w:t>
      </w:r>
      <w:r w:rsidR="00D32E1E">
        <w:rPr>
          <w:b w:val="0"/>
          <w:sz w:val="24"/>
          <w:szCs w:val="24"/>
          <w:lang w:val="lt-LT"/>
        </w:rPr>
        <w:t>dama taikyti lai</w:t>
      </w:r>
      <w:r w:rsidR="00696F5D">
        <w:rPr>
          <w:b w:val="0"/>
          <w:sz w:val="24"/>
          <w:szCs w:val="24"/>
          <w:lang w:val="lt-LT"/>
        </w:rPr>
        <w:t>kin</w:t>
      </w:r>
      <w:r w:rsidR="00D32E1E">
        <w:rPr>
          <w:b w:val="0"/>
          <w:sz w:val="24"/>
          <w:szCs w:val="24"/>
          <w:lang w:val="lt-LT"/>
        </w:rPr>
        <w:t>ąsias</w:t>
      </w:r>
      <w:r w:rsidR="00696F5D">
        <w:rPr>
          <w:b w:val="0"/>
          <w:sz w:val="24"/>
          <w:szCs w:val="24"/>
          <w:lang w:val="lt-LT"/>
        </w:rPr>
        <w:t xml:space="preserve"> apsaugos priemon</w:t>
      </w:r>
      <w:r w:rsidR="00D32E1E">
        <w:rPr>
          <w:b w:val="0"/>
          <w:sz w:val="24"/>
          <w:szCs w:val="24"/>
          <w:lang w:val="lt-LT"/>
        </w:rPr>
        <w:t>es,</w:t>
      </w:r>
      <w:r w:rsidR="00696F5D">
        <w:rPr>
          <w:b w:val="0"/>
          <w:sz w:val="24"/>
          <w:szCs w:val="24"/>
          <w:lang w:val="lt-LT"/>
        </w:rPr>
        <w:t xml:space="preserve"> </w:t>
      </w:r>
      <w:r w:rsidR="00D32E1E">
        <w:rPr>
          <w:b w:val="0"/>
          <w:sz w:val="24"/>
          <w:szCs w:val="24"/>
          <w:lang w:val="lt-LT"/>
        </w:rPr>
        <w:t>prašyme nurodė išsamius argumentus dėl jų taikymo būtinumo ir pateikė rašytinį įrodymą, patvirtinantį, kad</w:t>
      </w:r>
      <w:r w:rsidR="005109A7">
        <w:rPr>
          <w:b w:val="0"/>
          <w:sz w:val="24"/>
          <w:szCs w:val="24"/>
          <w:lang w:val="lt-LT"/>
        </w:rPr>
        <w:t xml:space="preserve">, nors ji </w:t>
      </w:r>
      <w:r w:rsidR="005109A7" w:rsidRPr="0022021A">
        <w:rPr>
          <w:b w:val="0"/>
          <w:sz w:val="24"/>
          <w:szCs w:val="24"/>
          <w:lang w:val="lt-LT"/>
        </w:rPr>
        <w:t xml:space="preserve"> įgyvendin</w:t>
      </w:r>
      <w:r w:rsidR="005109A7">
        <w:rPr>
          <w:b w:val="0"/>
          <w:sz w:val="24"/>
          <w:szCs w:val="24"/>
          <w:lang w:val="lt-LT"/>
        </w:rPr>
        <w:t>o</w:t>
      </w:r>
      <w:r w:rsidR="005109A7" w:rsidRPr="000F4998">
        <w:rPr>
          <w:b w:val="0"/>
          <w:sz w:val="24"/>
          <w:szCs w:val="24"/>
          <w:lang w:val="lt-LT"/>
        </w:rPr>
        <w:t xml:space="preserve"> </w:t>
      </w:r>
      <w:r w:rsidR="005109A7">
        <w:rPr>
          <w:b w:val="0"/>
          <w:sz w:val="24"/>
          <w:szCs w:val="24"/>
          <w:lang w:val="lt-LT"/>
        </w:rPr>
        <w:t xml:space="preserve">VPĮ </w:t>
      </w:r>
      <w:r w:rsidR="005109A7" w:rsidRPr="0022021A">
        <w:rPr>
          <w:b w:val="0"/>
          <w:sz w:val="24"/>
          <w:szCs w:val="24"/>
          <w:lang w:val="lt-LT"/>
        </w:rPr>
        <w:t>46 straipsnio 10 dalyje įtvirtintas patikimumo atkūrimo priemones,</w:t>
      </w:r>
      <w:r w:rsidR="005109A7">
        <w:rPr>
          <w:b w:val="0"/>
          <w:sz w:val="24"/>
          <w:szCs w:val="24"/>
          <w:lang w:val="lt-LT"/>
        </w:rPr>
        <w:t xml:space="preserve"> jai vis tiek sudaromos </w:t>
      </w:r>
      <w:r w:rsidR="00696F5D">
        <w:rPr>
          <w:b w:val="0"/>
          <w:sz w:val="24"/>
          <w:szCs w:val="24"/>
          <w:lang w:val="lt-LT"/>
        </w:rPr>
        <w:t xml:space="preserve">kliūtys </w:t>
      </w:r>
      <w:r w:rsidR="00DD1231" w:rsidRPr="00DD1231">
        <w:rPr>
          <w:b w:val="0"/>
          <w:sz w:val="24"/>
          <w:szCs w:val="24"/>
          <w:lang w:val="lt-LT"/>
        </w:rPr>
        <w:t xml:space="preserve">dalyvauti kitų perkančiųjų organizacijų skelbiamuose pirkimuose. </w:t>
      </w:r>
    </w:p>
    <w:p w14:paraId="40090320" w14:textId="0E58F644" w:rsidR="004E3660" w:rsidRDefault="000F4998" w:rsidP="004E3660">
      <w:pPr>
        <w:pStyle w:val="BodyText"/>
        <w:tabs>
          <w:tab w:val="left" w:pos="709"/>
        </w:tabs>
        <w:jc w:val="both"/>
        <w:rPr>
          <w:b w:val="0"/>
          <w:sz w:val="24"/>
          <w:szCs w:val="24"/>
          <w:lang w:val="lt-LT"/>
        </w:rPr>
      </w:pPr>
      <w:r>
        <w:rPr>
          <w:b w:val="0"/>
          <w:sz w:val="24"/>
          <w:szCs w:val="24"/>
          <w:lang w:val="lt-LT"/>
        </w:rPr>
        <w:tab/>
      </w:r>
      <w:r w:rsidR="00F664D2">
        <w:rPr>
          <w:b w:val="0"/>
          <w:sz w:val="24"/>
          <w:szCs w:val="24"/>
          <w:lang w:val="lt-LT"/>
        </w:rPr>
        <w:t xml:space="preserve">Atrankos </w:t>
      </w:r>
      <w:r w:rsidR="004E3660">
        <w:rPr>
          <w:b w:val="0"/>
          <w:sz w:val="24"/>
          <w:szCs w:val="24"/>
          <w:lang w:val="lt-LT"/>
        </w:rPr>
        <w:t>kolegija</w:t>
      </w:r>
      <w:r w:rsidR="005109A7">
        <w:rPr>
          <w:b w:val="0"/>
          <w:sz w:val="24"/>
          <w:szCs w:val="24"/>
          <w:lang w:val="lt-LT"/>
        </w:rPr>
        <w:t xml:space="preserve">, susipažinusi su ieškovės prašymo argumentais ir pateiktu rašytiniu įrodymu, </w:t>
      </w:r>
      <w:r w:rsidR="004E3660">
        <w:rPr>
          <w:b w:val="0"/>
          <w:sz w:val="24"/>
          <w:szCs w:val="24"/>
          <w:lang w:val="lt-LT"/>
        </w:rPr>
        <w:t xml:space="preserve">laiko pagrįstais </w:t>
      </w:r>
      <w:r w:rsidR="005109A7">
        <w:rPr>
          <w:b w:val="0"/>
          <w:sz w:val="24"/>
          <w:szCs w:val="24"/>
          <w:lang w:val="lt-LT"/>
        </w:rPr>
        <w:t xml:space="preserve">jos </w:t>
      </w:r>
      <w:r w:rsidR="004E3660">
        <w:rPr>
          <w:b w:val="0"/>
          <w:sz w:val="24"/>
          <w:szCs w:val="24"/>
          <w:lang w:val="lt-LT"/>
        </w:rPr>
        <w:t>argumentus, kad nepritaikius laikin</w:t>
      </w:r>
      <w:r w:rsidR="005109A7">
        <w:rPr>
          <w:b w:val="0"/>
          <w:sz w:val="24"/>
          <w:szCs w:val="24"/>
          <w:lang w:val="lt-LT"/>
        </w:rPr>
        <w:t xml:space="preserve">ųjų </w:t>
      </w:r>
      <w:r w:rsidR="004E3660">
        <w:rPr>
          <w:b w:val="0"/>
          <w:sz w:val="24"/>
          <w:szCs w:val="24"/>
          <w:lang w:val="lt-LT"/>
        </w:rPr>
        <w:t>apsaugos priemon</w:t>
      </w:r>
      <w:r w:rsidR="005109A7">
        <w:rPr>
          <w:b w:val="0"/>
          <w:sz w:val="24"/>
          <w:szCs w:val="24"/>
          <w:lang w:val="lt-LT"/>
        </w:rPr>
        <w:t>ių</w:t>
      </w:r>
      <w:r w:rsidR="004E3660">
        <w:rPr>
          <w:b w:val="0"/>
          <w:sz w:val="24"/>
          <w:szCs w:val="24"/>
          <w:lang w:val="lt-LT"/>
        </w:rPr>
        <w:t xml:space="preserve"> –</w:t>
      </w:r>
      <w:r w:rsidR="004E3660" w:rsidRPr="00410580">
        <w:rPr>
          <w:lang w:val="lt-LT"/>
        </w:rPr>
        <w:t xml:space="preserve"> </w:t>
      </w:r>
      <w:r w:rsidR="004E3660" w:rsidRPr="00410580">
        <w:rPr>
          <w:b w:val="0"/>
          <w:sz w:val="24"/>
          <w:szCs w:val="24"/>
          <w:lang w:val="lt-LT"/>
        </w:rPr>
        <w:t xml:space="preserve">iki byla bus išnagrinėta kasacine tvarka </w:t>
      </w:r>
      <w:r w:rsidR="005109A7">
        <w:rPr>
          <w:b w:val="0"/>
          <w:sz w:val="24"/>
          <w:szCs w:val="24"/>
          <w:lang w:val="lt-LT"/>
        </w:rPr>
        <w:t xml:space="preserve">nepašalinus </w:t>
      </w:r>
      <w:r w:rsidR="004E3660">
        <w:rPr>
          <w:b w:val="0"/>
          <w:sz w:val="24"/>
          <w:szCs w:val="24"/>
          <w:lang w:val="lt-LT"/>
        </w:rPr>
        <w:t>ieškovės</w:t>
      </w:r>
      <w:r w:rsidR="004E3660" w:rsidRPr="00410580">
        <w:rPr>
          <w:b w:val="0"/>
          <w:sz w:val="24"/>
          <w:szCs w:val="24"/>
          <w:lang w:val="lt-LT"/>
        </w:rPr>
        <w:t xml:space="preserve"> iš </w:t>
      </w:r>
      <w:r w:rsidR="005109A7">
        <w:rPr>
          <w:b w:val="0"/>
          <w:sz w:val="24"/>
          <w:szCs w:val="24"/>
          <w:lang w:val="lt-LT"/>
        </w:rPr>
        <w:t xml:space="preserve">Melagingą informaciją pateikusių tiekėjų </w:t>
      </w:r>
      <w:r w:rsidR="004E3660" w:rsidRPr="00410580">
        <w:rPr>
          <w:b w:val="0"/>
          <w:sz w:val="24"/>
          <w:szCs w:val="24"/>
          <w:lang w:val="lt-LT"/>
        </w:rPr>
        <w:t>sąrašo</w:t>
      </w:r>
      <w:r w:rsidR="004E3660">
        <w:rPr>
          <w:b w:val="0"/>
          <w:sz w:val="24"/>
          <w:szCs w:val="24"/>
          <w:lang w:val="lt-LT"/>
        </w:rPr>
        <w:t xml:space="preserve">, ji galimai būtų eliminuojama iš vykdomų viešųjų pirkimų ir dėl to patirtų nuostolių dar kasaciniam teismui neperžiūrėjus skundžiamos apeliacinės instancijos teismo nutarties </w:t>
      </w:r>
      <w:r w:rsidR="005109A7">
        <w:rPr>
          <w:b w:val="0"/>
          <w:sz w:val="24"/>
          <w:szCs w:val="24"/>
          <w:lang w:val="lt-LT"/>
        </w:rPr>
        <w:t xml:space="preserve">teisėtumo. </w:t>
      </w:r>
      <w:r w:rsidR="004E3660">
        <w:rPr>
          <w:b w:val="0"/>
          <w:sz w:val="24"/>
          <w:szCs w:val="24"/>
          <w:lang w:val="lt-LT"/>
        </w:rPr>
        <w:t>Taigi nepritaikius ieškovės prašom</w:t>
      </w:r>
      <w:r w:rsidR="005109A7">
        <w:rPr>
          <w:b w:val="0"/>
          <w:sz w:val="24"/>
          <w:szCs w:val="24"/>
          <w:lang w:val="lt-LT"/>
        </w:rPr>
        <w:t>ų</w:t>
      </w:r>
      <w:r w:rsidR="004E3660" w:rsidRPr="00DA0313">
        <w:rPr>
          <w:b w:val="0"/>
          <w:sz w:val="24"/>
          <w:szCs w:val="24"/>
          <w:lang w:val="lt-LT"/>
        </w:rPr>
        <w:t xml:space="preserve"> laikin</w:t>
      </w:r>
      <w:r w:rsidR="005109A7">
        <w:rPr>
          <w:b w:val="0"/>
          <w:sz w:val="24"/>
          <w:szCs w:val="24"/>
          <w:lang w:val="lt-LT"/>
        </w:rPr>
        <w:t>ųjų</w:t>
      </w:r>
      <w:r w:rsidR="004E3660" w:rsidRPr="00DA0313">
        <w:rPr>
          <w:b w:val="0"/>
          <w:sz w:val="24"/>
          <w:szCs w:val="24"/>
          <w:lang w:val="lt-LT"/>
        </w:rPr>
        <w:t xml:space="preserve"> apsaugos priemon</w:t>
      </w:r>
      <w:r w:rsidR="005109A7">
        <w:rPr>
          <w:b w:val="0"/>
          <w:sz w:val="24"/>
          <w:szCs w:val="24"/>
          <w:lang w:val="lt-LT"/>
        </w:rPr>
        <w:t xml:space="preserve">ių </w:t>
      </w:r>
      <w:r w:rsidR="004E3660">
        <w:rPr>
          <w:b w:val="0"/>
          <w:sz w:val="24"/>
          <w:szCs w:val="24"/>
          <w:lang w:val="lt-LT"/>
        </w:rPr>
        <w:t>galimai būtų pažeisti</w:t>
      </w:r>
      <w:r w:rsidR="004E3660" w:rsidRPr="00DA0313">
        <w:rPr>
          <w:b w:val="0"/>
          <w:sz w:val="24"/>
          <w:szCs w:val="24"/>
          <w:lang w:val="lt-LT"/>
        </w:rPr>
        <w:t xml:space="preserve"> ekonomiškumo, efekt</w:t>
      </w:r>
      <w:r w:rsidR="004E3660">
        <w:rPr>
          <w:b w:val="0"/>
          <w:sz w:val="24"/>
          <w:szCs w:val="24"/>
          <w:lang w:val="lt-LT"/>
        </w:rPr>
        <w:t>yvumo ir proporcingumo principai</w:t>
      </w:r>
      <w:r w:rsidR="004E3660" w:rsidRPr="00DA0313">
        <w:rPr>
          <w:b w:val="0"/>
          <w:sz w:val="24"/>
          <w:szCs w:val="24"/>
          <w:lang w:val="lt-LT"/>
        </w:rPr>
        <w:t xml:space="preserve"> bei Europos Sąjungos pagrindinių teisių chartijos 16 straipsnyje įt</w:t>
      </w:r>
      <w:r w:rsidR="004E3660">
        <w:rPr>
          <w:b w:val="0"/>
          <w:sz w:val="24"/>
          <w:szCs w:val="24"/>
          <w:lang w:val="lt-LT"/>
        </w:rPr>
        <w:t>virtinta laisvė užsiimti verslu,</w:t>
      </w:r>
      <w:r w:rsidR="004E3660" w:rsidRPr="00DA0313">
        <w:rPr>
          <w:b w:val="0"/>
          <w:sz w:val="24"/>
          <w:szCs w:val="24"/>
          <w:lang w:val="lt-LT"/>
        </w:rPr>
        <w:t xml:space="preserve"> </w:t>
      </w:r>
      <w:r w:rsidR="004E3660">
        <w:rPr>
          <w:b w:val="0"/>
          <w:sz w:val="24"/>
          <w:szCs w:val="24"/>
          <w:lang w:val="lt-LT"/>
        </w:rPr>
        <w:t>taip pat galimai būtų pažeista ieškovės kaip juridinio asmens reputacija, apsunkintas ieškovės grąžinimas</w:t>
      </w:r>
      <w:r w:rsidR="004E3660" w:rsidRPr="00DA0313">
        <w:rPr>
          <w:b w:val="0"/>
          <w:sz w:val="24"/>
          <w:szCs w:val="24"/>
          <w:lang w:val="lt-LT"/>
        </w:rPr>
        <w:t xml:space="preserve"> į prieš pažeidimą buvusią padėtį </w:t>
      </w:r>
      <w:r w:rsidR="004E3660">
        <w:rPr>
          <w:b w:val="0"/>
          <w:sz w:val="24"/>
          <w:szCs w:val="24"/>
          <w:lang w:val="lt-LT"/>
        </w:rPr>
        <w:t>jai</w:t>
      </w:r>
      <w:r w:rsidR="004E3660" w:rsidRPr="00DA0313">
        <w:rPr>
          <w:b w:val="0"/>
          <w:sz w:val="24"/>
          <w:szCs w:val="24"/>
          <w:lang w:val="lt-LT"/>
        </w:rPr>
        <w:t xml:space="preserve"> galimai palankaus teismo sprendimo atveju, nes </w:t>
      </w:r>
      <w:r w:rsidR="004E3660">
        <w:rPr>
          <w:b w:val="0"/>
          <w:sz w:val="24"/>
          <w:szCs w:val="24"/>
          <w:lang w:val="lt-LT"/>
        </w:rPr>
        <w:t>ji būtų netekusi galimybės</w:t>
      </w:r>
      <w:r w:rsidR="004E3660" w:rsidRPr="00DA0313">
        <w:rPr>
          <w:b w:val="0"/>
          <w:sz w:val="24"/>
          <w:szCs w:val="24"/>
          <w:lang w:val="lt-LT"/>
        </w:rPr>
        <w:t xml:space="preserve"> dalyvauti iki tokio sprendimo </w:t>
      </w:r>
      <w:r w:rsidR="004E3660">
        <w:rPr>
          <w:b w:val="0"/>
          <w:sz w:val="24"/>
          <w:szCs w:val="24"/>
          <w:lang w:val="lt-LT"/>
        </w:rPr>
        <w:t xml:space="preserve">priėmimo </w:t>
      </w:r>
      <w:r w:rsidR="004E3660" w:rsidRPr="00DA0313">
        <w:rPr>
          <w:b w:val="0"/>
          <w:sz w:val="24"/>
          <w:szCs w:val="24"/>
          <w:lang w:val="lt-LT"/>
        </w:rPr>
        <w:t>vykusiuose viešuosiuose pirkimuose</w:t>
      </w:r>
      <w:r w:rsidR="004E3660">
        <w:rPr>
          <w:b w:val="0"/>
          <w:sz w:val="24"/>
          <w:szCs w:val="24"/>
          <w:lang w:val="lt-LT"/>
        </w:rPr>
        <w:t>, ieškovė galimai dėl to patirtų nuostolių</w:t>
      </w:r>
      <w:r w:rsidR="004E3660" w:rsidRPr="00DA0313">
        <w:rPr>
          <w:b w:val="0"/>
          <w:sz w:val="24"/>
          <w:szCs w:val="24"/>
          <w:lang w:val="lt-LT"/>
        </w:rPr>
        <w:t>.</w:t>
      </w:r>
      <w:r w:rsidR="004E3660">
        <w:rPr>
          <w:b w:val="0"/>
          <w:sz w:val="24"/>
          <w:szCs w:val="24"/>
          <w:lang w:val="lt-LT"/>
        </w:rPr>
        <w:t xml:space="preserve"> </w:t>
      </w:r>
    </w:p>
    <w:p w14:paraId="34C9A7A3" w14:textId="05EC4B2D" w:rsidR="004E3660" w:rsidRPr="009B61DE" w:rsidRDefault="004E3660" w:rsidP="004E3660">
      <w:pPr>
        <w:pStyle w:val="BodyText"/>
        <w:tabs>
          <w:tab w:val="left" w:pos="709"/>
        </w:tabs>
        <w:jc w:val="both"/>
        <w:rPr>
          <w:b w:val="0"/>
          <w:sz w:val="24"/>
          <w:szCs w:val="24"/>
          <w:lang w:val="lt-LT"/>
        </w:rPr>
      </w:pPr>
      <w:r>
        <w:rPr>
          <w:b w:val="0"/>
          <w:sz w:val="24"/>
          <w:szCs w:val="24"/>
          <w:lang w:val="lt-LT"/>
        </w:rPr>
        <w:tab/>
        <w:t>Dėl nurodytų priežasčių atrankos kolegija konstatuoja, kad yra pagrindas taikyti laikiną</w:t>
      </w:r>
      <w:r w:rsidR="00696F5D">
        <w:rPr>
          <w:b w:val="0"/>
          <w:sz w:val="24"/>
          <w:szCs w:val="24"/>
          <w:lang w:val="lt-LT"/>
        </w:rPr>
        <w:t>sias</w:t>
      </w:r>
      <w:r>
        <w:rPr>
          <w:b w:val="0"/>
          <w:sz w:val="24"/>
          <w:szCs w:val="24"/>
          <w:lang w:val="lt-LT"/>
        </w:rPr>
        <w:t xml:space="preserve"> apsaugos priemon</w:t>
      </w:r>
      <w:r w:rsidR="00696F5D">
        <w:rPr>
          <w:b w:val="0"/>
          <w:sz w:val="24"/>
          <w:szCs w:val="24"/>
          <w:lang w:val="lt-LT"/>
        </w:rPr>
        <w:t>es</w:t>
      </w:r>
      <w:r>
        <w:rPr>
          <w:b w:val="0"/>
          <w:sz w:val="24"/>
          <w:szCs w:val="24"/>
          <w:lang w:val="lt-LT"/>
        </w:rPr>
        <w:t xml:space="preserve"> – </w:t>
      </w:r>
      <w:r w:rsidRPr="00157DE7">
        <w:rPr>
          <w:b w:val="0"/>
          <w:sz w:val="24"/>
          <w:szCs w:val="24"/>
          <w:lang w:val="lt-LT"/>
        </w:rPr>
        <w:t xml:space="preserve">iki </w:t>
      </w:r>
      <w:r>
        <w:rPr>
          <w:b w:val="0"/>
          <w:sz w:val="24"/>
          <w:szCs w:val="24"/>
          <w:lang w:val="lt-LT"/>
        </w:rPr>
        <w:t>byla bus išnagrinėta kasacine tvarka</w:t>
      </w:r>
      <w:r w:rsidRPr="00157DE7">
        <w:rPr>
          <w:b w:val="0"/>
          <w:sz w:val="24"/>
          <w:szCs w:val="24"/>
          <w:lang w:val="lt-LT"/>
        </w:rPr>
        <w:t xml:space="preserve"> </w:t>
      </w:r>
      <w:r w:rsidR="00696F5D">
        <w:rPr>
          <w:b w:val="0"/>
          <w:sz w:val="24"/>
          <w:szCs w:val="24"/>
          <w:lang w:val="lt-LT"/>
        </w:rPr>
        <w:t>p</w:t>
      </w:r>
      <w:r w:rsidR="00696F5D" w:rsidRPr="00696F5D">
        <w:rPr>
          <w:b w:val="0"/>
          <w:bCs w:val="0"/>
          <w:noProof/>
          <w:sz w:val="24"/>
          <w:szCs w:val="24"/>
          <w:lang w:val="lt-LT"/>
        </w:rPr>
        <w:t>ašalinti</w:t>
      </w:r>
      <w:r w:rsidR="00696F5D" w:rsidRPr="00696F5D">
        <w:rPr>
          <w:b w:val="0"/>
          <w:bCs w:val="0"/>
          <w:sz w:val="24"/>
          <w:szCs w:val="24"/>
          <w:lang w:val="lt-LT"/>
        </w:rPr>
        <w:t xml:space="preserve"> ieškovę UAB „</w:t>
      </w:r>
      <w:proofErr w:type="spellStart"/>
      <w:r w:rsidR="00696F5D" w:rsidRPr="00696F5D">
        <w:rPr>
          <w:b w:val="0"/>
          <w:bCs w:val="0"/>
          <w:sz w:val="24"/>
          <w:szCs w:val="24"/>
          <w:lang w:val="lt-LT"/>
        </w:rPr>
        <w:t>Inti</w:t>
      </w:r>
      <w:proofErr w:type="spellEnd"/>
      <w:r w:rsidR="00696F5D" w:rsidRPr="00696F5D">
        <w:rPr>
          <w:b w:val="0"/>
          <w:bCs w:val="0"/>
          <w:sz w:val="24"/>
          <w:szCs w:val="24"/>
          <w:lang w:val="lt-LT"/>
        </w:rPr>
        <w:t>“ iš Melagingą informaciją pateikusių tiekėjų sąrašo</w:t>
      </w:r>
      <w:r w:rsidR="00696F5D" w:rsidRPr="00696F5D">
        <w:rPr>
          <w:sz w:val="24"/>
          <w:szCs w:val="24"/>
          <w:lang w:val="lt-LT"/>
        </w:rPr>
        <w:t xml:space="preserve"> </w:t>
      </w:r>
      <w:r>
        <w:rPr>
          <w:b w:val="0"/>
          <w:sz w:val="24"/>
          <w:szCs w:val="24"/>
          <w:lang w:val="lt-LT"/>
        </w:rPr>
        <w:t>(CPK 145 straipsnio 1 dalies 13 punktas, 423</w:t>
      </w:r>
      <w:r>
        <w:rPr>
          <w:b w:val="0"/>
          <w:sz w:val="24"/>
          <w:szCs w:val="24"/>
          <w:vertAlign w:val="superscript"/>
          <w:lang w:val="lt-LT"/>
        </w:rPr>
        <w:t>7</w:t>
      </w:r>
      <w:r>
        <w:rPr>
          <w:b w:val="0"/>
          <w:sz w:val="24"/>
          <w:szCs w:val="24"/>
          <w:lang w:val="lt-LT"/>
        </w:rPr>
        <w:t xml:space="preserve"> straipsnio 1 dalis, 363 straipsnio 2 dalis)</w:t>
      </w:r>
      <w:r w:rsidRPr="00157DE7">
        <w:rPr>
          <w:b w:val="0"/>
          <w:sz w:val="24"/>
          <w:szCs w:val="24"/>
          <w:lang w:val="lt-LT"/>
        </w:rPr>
        <w:t>.</w:t>
      </w:r>
      <w:r>
        <w:rPr>
          <w:b w:val="0"/>
          <w:sz w:val="24"/>
          <w:szCs w:val="24"/>
          <w:lang w:val="lt-LT"/>
        </w:rPr>
        <w:t xml:space="preserve"> </w:t>
      </w:r>
    </w:p>
    <w:p w14:paraId="6834F824" w14:textId="77777777" w:rsidR="00EF0C7A" w:rsidRDefault="00EF0C7A" w:rsidP="00E3161C">
      <w:pPr>
        <w:jc w:val="both"/>
        <w:rPr>
          <w:bCs/>
        </w:rPr>
      </w:pPr>
    </w:p>
    <w:p w14:paraId="53206A66" w14:textId="5EB7255E" w:rsidR="00011C0B" w:rsidRPr="00FF4C70" w:rsidRDefault="009962D1" w:rsidP="000F143E">
      <w:pPr>
        <w:ind w:firstLine="720"/>
        <w:jc w:val="both"/>
        <w:rPr>
          <w:b/>
          <w:i/>
        </w:rPr>
      </w:pPr>
      <w:r>
        <w:t>A</w:t>
      </w:r>
      <w:r w:rsidR="00F025C7">
        <w:t>trankos kolegija, v</w:t>
      </w:r>
      <w:r w:rsidR="00011C0B" w:rsidRPr="00026C76">
        <w:t xml:space="preserve">adovaudamasi </w:t>
      </w:r>
      <w:r w:rsidR="00C75E1F">
        <w:t>Lietuvos Respublikos civilinio proceso kodekso</w:t>
      </w:r>
      <w:r w:rsidR="00BB57DB">
        <w:t xml:space="preserve"> </w:t>
      </w:r>
      <w:r w:rsidR="00696F5D">
        <w:rPr>
          <w:szCs w:val="24"/>
        </w:rPr>
        <w:t>144 straipsnio 1 dalimi</w:t>
      </w:r>
      <w:r w:rsidR="00D32E1E">
        <w:t xml:space="preserve">, </w:t>
      </w:r>
      <w:r w:rsidR="00382B74">
        <w:t>145 straipsnio 1 dalies 1</w:t>
      </w:r>
      <w:r w:rsidR="004E3660">
        <w:t>3</w:t>
      </w:r>
      <w:r w:rsidR="00382B74">
        <w:t xml:space="preserve"> punktu, </w:t>
      </w:r>
      <w:r w:rsidR="00C70121">
        <w:t xml:space="preserve">363 straipsnio </w:t>
      </w:r>
      <w:r w:rsidR="006A68D1">
        <w:t>2</w:t>
      </w:r>
      <w:r w:rsidR="00C70121">
        <w:t xml:space="preserve"> dalimi,</w:t>
      </w:r>
      <w:r w:rsidR="00382B74" w:rsidRPr="00382B74">
        <w:rPr>
          <w:szCs w:val="24"/>
          <w:lang w:eastAsia="lt-LT"/>
        </w:rPr>
        <w:t xml:space="preserve"> </w:t>
      </w:r>
      <w:r w:rsidR="00382B74" w:rsidRPr="00BC430D">
        <w:rPr>
          <w:szCs w:val="24"/>
          <w:lang w:eastAsia="lt-LT"/>
        </w:rPr>
        <w:t>423</w:t>
      </w:r>
      <w:r w:rsidR="00382B74" w:rsidRPr="00BC430D">
        <w:rPr>
          <w:szCs w:val="24"/>
          <w:vertAlign w:val="superscript"/>
          <w:lang w:eastAsia="lt-LT"/>
        </w:rPr>
        <w:t xml:space="preserve">7 </w:t>
      </w:r>
      <w:r w:rsidR="00382B74" w:rsidRPr="00BC430D">
        <w:rPr>
          <w:szCs w:val="24"/>
          <w:lang w:eastAsia="lt-LT"/>
        </w:rPr>
        <w:t>str</w:t>
      </w:r>
      <w:r w:rsidR="00382B74">
        <w:rPr>
          <w:szCs w:val="24"/>
          <w:lang w:eastAsia="lt-LT"/>
        </w:rPr>
        <w:t>aipsnio</w:t>
      </w:r>
      <w:r w:rsidR="00D32E1E">
        <w:rPr>
          <w:szCs w:val="24"/>
          <w:lang w:eastAsia="lt-LT"/>
        </w:rPr>
        <w:t xml:space="preserve"> </w:t>
      </w:r>
      <w:r w:rsidR="00382B74" w:rsidRPr="00BC430D">
        <w:rPr>
          <w:szCs w:val="24"/>
          <w:lang w:eastAsia="lt-LT"/>
        </w:rPr>
        <w:t>1 d</w:t>
      </w:r>
      <w:r w:rsidR="00382B74">
        <w:rPr>
          <w:szCs w:val="24"/>
          <w:lang w:eastAsia="lt-LT"/>
        </w:rPr>
        <w:t>alimi,</w:t>
      </w:r>
    </w:p>
    <w:p w14:paraId="1D9EA56C" w14:textId="77777777" w:rsidR="00011C0B" w:rsidRPr="00FF4C70" w:rsidRDefault="00011C0B" w:rsidP="00011C0B">
      <w:pPr>
        <w:ind w:firstLine="720"/>
        <w:jc w:val="both"/>
        <w:rPr>
          <w:i/>
        </w:rPr>
      </w:pPr>
      <w:r w:rsidRPr="00FF4C70">
        <w:rPr>
          <w:i/>
        </w:rPr>
        <w:lastRenderedPageBreak/>
        <w:t xml:space="preserve"> </w:t>
      </w:r>
    </w:p>
    <w:p w14:paraId="6A3CD5F5" w14:textId="77777777" w:rsidR="00011C0B" w:rsidRDefault="00011C0B" w:rsidP="00011C0B">
      <w:pPr>
        <w:jc w:val="both"/>
      </w:pPr>
      <w:r>
        <w:t>n u t a r i a :</w:t>
      </w:r>
    </w:p>
    <w:p w14:paraId="3AE8FAE9" w14:textId="77777777" w:rsidR="00B86BFC" w:rsidRDefault="00B86BFC" w:rsidP="00AA547C">
      <w:pPr>
        <w:pStyle w:val="BodyText"/>
        <w:ind w:firstLine="720"/>
        <w:jc w:val="both"/>
        <w:rPr>
          <w:b w:val="0"/>
          <w:sz w:val="24"/>
          <w:lang w:val="lt-LT"/>
        </w:rPr>
      </w:pPr>
    </w:p>
    <w:p w14:paraId="582001C9" w14:textId="550CA0DD" w:rsidR="00696F5D" w:rsidRPr="00157DE7" w:rsidRDefault="00696F5D" w:rsidP="00D32E1E">
      <w:pPr>
        <w:autoSpaceDE w:val="0"/>
        <w:autoSpaceDN w:val="0"/>
        <w:adjustRightInd w:val="0"/>
        <w:ind w:firstLine="709"/>
        <w:jc w:val="both"/>
        <w:rPr>
          <w:b/>
          <w:szCs w:val="24"/>
        </w:rPr>
      </w:pPr>
      <w:r>
        <w:rPr>
          <w:szCs w:val="24"/>
        </w:rPr>
        <w:t xml:space="preserve">Tenkinti ieškovės </w:t>
      </w:r>
      <w:r w:rsidRPr="00696F5D">
        <w:rPr>
          <w:szCs w:val="24"/>
        </w:rPr>
        <w:t>UAB „</w:t>
      </w:r>
      <w:proofErr w:type="spellStart"/>
      <w:r w:rsidRPr="00696F5D">
        <w:rPr>
          <w:szCs w:val="24"/>
        </w:rPr>
        <w:t>Inti</w:t>
      </w:r>
      <w:proofErr w:type="spellEnd"/>
      <w:r w:rsidRPr="00696F5D">
        <w:rPr>
          <w:szCs w:val="24"/>
        </w:rPr>
        <w:t xml:space="preserve">“ </w:t>
      </w:r>
      <w:r w:rsidRPr="00696F5D">
        <w:rPr>
          <w:noProof/>
          <w:szCs w:val="24"/>
        </w:rPr>
        <w:t xml:space="preserve">prašymą </w:t>
      </w:r>
      <w:r>
        <w:rPr>
          <w:szCs w:val="24"/>
        </w:rPr>
        <w:t xml:space="preserve">ir </w:t>
      </w:r>
      <w:r w:rsidRPr="00D32E1E">
        <w:rPr>
          <w:bCs/>
          <w:szCs w:val="24"/>
        </w:rPr>
        <w:t>taikyti</w:t>
      </w:r>
      <w:r>
        <w:rPr>
          <w:szCs w:val="24"/>
        </w:rPr>
        <w:t xml:space="preserve"> laikiną</w:t>
      </w:r>
      <w:r w:rsidRPr="00D32E1E">
        <w:rPr>
          <w:bCs/>
          <w:szCs w:val="24"/>
        </w:rPr>
        <w:t>sias</w:t>
      </w:r>
      <w:r>
        <w:rPr>
          <w:szCs w:val="24"/>
        </w:rPr>
        <w:t xml:space="preserve"> apsaugos priemon</w:t>
      </w:r>
      <w:r w:rsidRPr="00D32E1E">
        <w:rPr>
          <w:bCs/>
          <w:szCs w:val="24"/>
        </w:rPr>
        <w:t>es</w:t>
      </w:r>
      <w:r>
        <w:rPr>
          <w:b/>
          <w:szCs w:val="24"/>
        </w:rPr>
        <w:t xml:space="preserve"> </w:t>
      </w:r>
      <w:r>
        <w:rPr>
          <w:szCs w:val="24"/>
        </w:rPr>
        <w:t xml:space="preserve">– </w:t>
      </w:r>
      <w:r w:rsidRPr="00157DE7">
        <w:rPr>
          <w:szCs w:val="24"/>
        </w:rPr>
        <w:t xml:space="preserve">iki </w:t>
      </w:r>
      <w:r>
        <w:rPr>
          <w:szCs w:val="24"/>
        </w:rPr>
        <w:t>byla bus išnagrinėta kasacine tvarka</w:t>
      </w:r>
      <w:r w:rsidRPr="00157DE7">
        <w:rPr>
          <w:szCs w:val="24"/>
        </w:rPr>
        <w:t xml:space="preserve"> </w:t>
      </w:r>
      <w:r w:rsidR="00D32E1E">
        <w:rPr>
          <w:szCs w:val="24"/>
        </w:rPr>
        <w:t>p</w:t>
      </w:r>
      <w:r w:rsidRPr="002771BF">
        <w:rPr>
          <w:noProof/>
          <w:szCs w:val="24"/>
        </w:rPr>
        <w:t>ašalinti</w:t>
      </w:r>
      <w:r w:rsidRPr="002771BF">
        <w:rPr>
          <w:szCs w:val="24"/>
        </w:rPr>
        <w:t xml:space="preserve"> ieškovę UAB „</w:t>
      </w:r>
      <w:proofErr w:type="spellStart"/>
      <w:r>
        <w:rPr>
          <w:szCs w:val="24"/>
        </w:rPr>
        <w:t>Inti</w:t>
      </w:r>
      <w:proofErr w:type="spellEnd"/>
      <w:r w:rsidRPr="002771BF">
        <w:rPr>
          <w:szCs w:val="24"/>
        </w:rPr>
        <w:t>“ (</w:t>
      </w:r>
      <w:r w:rsidR="00D32E1E">
        <w:rPr>
          <w:szCs w:val="24"/>
        </w:rPr>
        <w:t>j. a. k.</w:t>
      </w:r>
      <w:r w:rsidRPr="002771BF">
        <w:rPr>
          <w:szCs w:val="24"/>
        </w:rPr>
        <w:t xml:space="preserve"> </w:t>
      </w:r>
      <w:r>
        <w:rPr>
          <w:szCs w:val="24"/>
        </w:rPr>
        <w:t>133165398</w:t>
      </w:r>
      <w:r w:rsidRPr="002771BF">
        <w:rPr>
          <w:szCs w:val="24"/>
        </w:rPr>
        <w:t>) iš Melagingą informaciją pateikusių tiekėj</w:t>
      </w:r>
      <w:r>
        <w:rPr>
          <w:szCs w:val="24"/>
        </w:rPr>
        <w:t>ų</w:t>
      </w:r>
      <w:r w:rsidRPr="002771BF">
        <w:rPr>
          <w:szCs w:val="24"/>
        </w:rPr>
        <w:t xml:space="preserve"> sąrašo</w:t>
      </w:r>
      <w:r w:rsidR="00D32E1E">
        <w:rPr>
          <w:szCs w:val="24"/>
        </w:rPr>
        <w:t>.</w:t>
      </w:r>
    </w:p>
    <w:p w14:paraId="5EF17062" w14:textId="2083C7C8" w:rsidR="00696F5D" w:rsidRPr="0020275A" w:rsidRDefault="00696F5D" w:rsidP="00D32E1E">
      <w:pPr>
        <w:autoSpaceDE w:val="0"/>
        <w:autoSpaceDN w:val="0"/>
        <w:adjustRightInd w:val="0"/>
        <w:ind w:firstLine="709"/>
        <w:jc w:val="both"/>
        <w:rPr>
          <w:b/>
          <w:szCs w:val="24"/>
        </w:rPr>
      </w:pPr>
      <w:r w:rsidRPr="00157DE7">
        <w:rPr>
          <w:szCs w:val="24"/>
        </w:rPr>
        <w:t xml:space="preserve">Nutarties </w:t>
      </w:r>
      <w:r>
        <w:rPr>
          <w:szCs w:val="24"/>
        </w:rPr>
        <w:t>kopiją</w:t>
      </w:r>
      <w:r w:rsidRPr="00157DE7">
        <w:rPr>
          <w:szCs w:val="24"/>
        </w:rPr>
        <w:t xml:space="preserve"> išsiųsti Viešųjų pirkimų tarnybai</w:t>
      </w:r>
      <w:r>
        <w:rPr>
          <w:szCs w:val="24"/>
        </w:rPr>
        <w:t xml:space="preserve"> ir atsakovei </w:t>
      </w:r>
      <w:r w:rsidR="00D32E1E">
        <w:rPr>
          <w:szCs w:val="24"/>
        </w:rPr>
        <w:t>AB „Lietuvos oro uostai“</w:t>
      </w:r>
      <w:r w:rsidR="00D32E1E" w:rsidRPr="002771BF">
        <w:rPr>
          <w:szCs w:val="24"/>
        </w:rPr>
        <w:t xml:space="preserve"> </w:t>
      </w:r>
    </w:p>
    <w:p w14:paraId="6F713CCF" w14:textId="77777777" w:rsidR="00696F5D" w:rsidRPr="00E00886" w:rsidRDefault="00696F5D" w:rsidP="00696F5D">
      <w:pPr>
        <w:pStyle w:val="BodyText"/>
        <w:ind w:firstLine="709"/>
        <w:jc w:val="both"/>
        <w:rPr>
          <w:b w:val="0"/>
          <w:sz w:val="24"/>
          <w:szCs w:val="24"/>
          <w:lang w:val="lt-LT"/>
        </w:rPr>
      </w:pPr>
      <w:r w:rsidRPr="00E00886">
        <w:rPr>
          <w:b w:val="0"/>
          <w:sz w:val="24"/>
          <w:szCs w:val="24"/>
          <w:lang w:val="lt-LT"/>
        </w:rPr>
        <w:t xml:space="preserve">Ši nutartis yra galutinė ir neskundžiama. </w:t>
      </w:r>
    </w:p>
    <w:p w14:paraId="34E024B2" w14:textId="77777777" w:rsidR="00464442" w:rsidRDefault="00464442">
      <w:pPr>
        <w:pStyle w:val="BodyText"/>
        <w:ind w:firstLine="720"/>
        <w:jc w:val="both"/>
        <w:rPr>
          <w:b w:val="0"/>
          <w:sz w:val="24"/>
          <w:lang w:val="lt-LT"/>
        </w:rPr>
      </w:pPr>
    </w:p>
    <w:p w14:paraId="15ECA0E0" w14:textId="77777777" w:rsidR="000F1AFE" w:rsidRDefault="003641A9" w:rsidP="000F1AFE">
      <w:pPr>
        <w:tabs>
          <w:tab w:val="left" w:pos="7513"/>
        </w:tabs>
        <w:jc w:val="both"/>
      </w:pPr>
      <w:r>
        <w:t xml:space="preserve">            </w:t>
      </w:r>
    </w:p>
    <w:p w14:paraId="47DC43E9" w14:textId="27DB73CD" w:rsidR="006A68D1" w:rsidRPr="004B038A" w:rsidRDefault="000278FF" w:rsidP="006A68D1">
      <w:pPr>
        <w:tabs>
          <w:tab w:val="left" w:pos="7513"/>
        </w:tabs>
        <w:jc w:val="both"/>
        <w:rPr>
          <w:szCs w:val="24"/>
        </w:rPr>
      </w:pPr>
      <w:r>
        <w:t>Teisėj</w:t>
      </w:r>
      <w:r w:rsidR="00BD39A8">
        <w:t>ai</w:t>
      </w:r>
      <w:r>
        <w:t xml:space="preserve">                                                                                      </w:t>
      </w:r>
      <w:r w:rsidR="00453AB0">
        <w:t xml:space="preserve">   </w:t>
      </w:r>
      <w:r w:rsidR="00BD5122">
        <w:t xml:space="preserve"> </w:t>
      </w:r>
      <w:r w:rsidR="00453AB0">
        <w:t xml:space="preserve">       </w:t>
      </w:r>
      <w:r w:rsidR="00B42BC3">
        <w:t xml:space="preserve">    </w:t>
      </w:r>
      <w:r w:rsidR="00BD39A8">
        <w:t xml:space="preserve"> </w:t>
      </w:r>
      <w:r w:rsidR="006A68D1">
        <w:rPr>
          <w:szCs w:val="24"/>
        </w:rPr>
        <w:t>A</w:t>
      </w:r>
      <w:r w:rsidR="0099773F">
        <w:rPr>
          <w:szCs w:val="24"/>
        </w:rPr>
        <w:t xml:space="preserve">rtūras </w:t>
      </w:r>
      <w:proofErr w:type="spellStart"/>
      <w:r w:rsidR="0099773F">
        <w:rPr>
          <w:szCs w:val="24"/>
        </w:rPr>
        <w:t>Driukas</w:t>
      </w:r>
      <w:proofErr w:type="spellEnd"/>
    </w:p>
    <w:p w14:paraId="6826229A" w14:textId="77777777" w:rsidR="006A68D1" w:rsidRPr="004B038A" w:rsidRDefault="006A68D1" w:rsidP="006A68D1">
      <w:pPr>
        <w:tabs>
          <w:tab w:val="left" w:pos="7513"/>
        </w:tabs>
        <w:jc w:val="both"/>
        <w:rPr>
          <w:szCs w:val="24"/>
        </w:rPr>
      </w:pPr>
    </w:p>
    <w:p w14:paraId="1A0A496F" w14:textId="2095AC9E" w:rsidR="006A68D1" w:rsidRPr="004B038A" w:rsidRDefault="006A68D1" w:rsidP="006A68D1">
      <w:pPr>
        <w:tabs>
          <w:tab w:val="left" w:pos="7513"/>
        </w:tabs>
        <w:jc w:val="both"/>
        <w:rPr>
          <w:szCs w:val="24"/>
        </w:rPr>
      </w:pPr>
      <w:r w:rsidRPr="004B038A">
        <w:rPr>
          <w:szCs w:val="24"/>
        </w:rPr>
        <w:t xml:space="preserve">                                                                                                                  </w:t>
      </w:r>
      <w:r>
        <w:rPr>
          <w:szCs w:val="24"/>
        </w:rPr>
        <w:t xml:space="preserve"> </w:t>
      </w:r>
      <w:proofErr w:type="spellStart"/>
      <w:r w:rsidR="0099773F">
        <w:rPr>
          <w:szCs w:val="24"/>
        </w:rPr>
        <w:t>Andžej</w:t>
      </w:r>
      <w:proofErr w:type="spellEnd"/>
      <w:r w:rsidR="0099773F">
        <w:rPr>
          <w:szCs w:val="24"/>
        </w:rPr>
        <w:t xml:space="preserve"> Maciejevski</w:t>
      </w:r>
      <w:r>
        <w:rPr>
          <w:szCs w:val="24"/>
        </w:rPr>
        <w:t xml:space="preserve"> </w:t>
      </w:r>
    </w:p>
    <w:p w14:paraId="17AFF8D9" w14:textId="77777777" w:rsidR="006A68D1" w:rsidRPr="004B038A" w:rsidRDefault="006A68D1" w:rsidP="006A68D1">
      <w:pPr>
        <w:tabs>
          <w:tab w:val="left" w:pos="7513"/>
        </w:tabs>
        <w:jc w:val="both"/>
        <w:rPr>
          <w:szCs w:val="24"/>
        </w:rPr>
      </w:pPr>
    </w:p>
    <w:p w14:paraId="54EA6849" w14:textId="0BC06DAC" w:rsidR="006A68D1" w:rsidRPr="0049270A" w:rsidRDefault="006A68D1" w:rsidP="006A68D1">
      <w:pPr>
        <w:tabs>
          <w:tab w:val="left" w:pos="7513"/>
        </w:tabs>
        <w:jc w:val="both"/>
        <w:rPr>
          <w:szCs w:val="24"/>
        </w:rPr>
      </w:pPr>
      <w:r w:rsidRPr="004B038A">
        <w:rPr>
          <w:szCs w:val="24"/>
        </w:rPr>
        <w:t xml:space="preserve">                                                                                                                   </w:t>
      </w:r>
      <w:r w:rsidR="0099773F">
        <w:rPr>
          <w:szCs w:val="24"/>
        </w:rPr>
        <w:t>Agnė Tikniūtė</w:t>
      </w:r>
    </w:p>
    <w:p w14:paraId="7881D44D" w14:textId="077A06FF" w:rsidR="00B42BC3" w:rsidRPr="004B038A" w:rsidRDefault="00B42BC3" w:rsidP="00BD39A8">
      <w:pPr>
        <w:tabs>
          <w:tab w:val="left" w:pos="7513"/>
        </w:tabs>
        <w:jc w:val="both"/>
        <w:rPr>
          <w:szCs w:val="24"/>
        </w:rPr>
      </w:pPr>
    </w:p>
    <w:p w14:paraId="27BA9299" w14:textId="77777777" w:rsidR="00B42BC3" w:rsidRPr="003E40E4" w:rsidRDefault="00B42BC3" w:rsidP="00B42BC3">
      <w:pPr>
        <w:tabs>
          <w:tab w:val="left" w:pos="7513"/>
        </w:tabs>
        <w:jc w:val="both"/>
        <w:rPr>
          <w:b/>
          <w:szCs w:val="24"/>
        </w:rPr>
      </w:pPr>
    </w:p>
    <w:p w14:paraId="0FE5D416" w14:textId="3B96BE8A" w:rsidR="00453AB0" w:rsidRDefault="00453AB0" w:rsidP="00B42BC3">
      <w:pPr>
        <w:tabs>
          <w:tab w:val="left" w:pos="7513"/>
        </w:tabs>
        <w:jc w:val="both"/>
      </w:pPr>
      <w:r>
        <w:t xml:space="preserve">  </w:t>
      </w:r>
      <w:r w:rsidR="00BB3DDE">
        <w:t xml:space="preserve">   </w:t>
      </w:r>
    </w:p>
    <w:p w14:paraId="6C320AEF" w14:textId="77777777" w:rsidR="000278FF" w:rsidRDefault="000278FF" w:rsidP="000278FF">
      <w:pPr>
        <w:tabs>
          <w:tab w:val="left" w:pos="7655"/>
        </w:tabs>
        <w:jc w:val="both"/>
      </w:pPr>
    </w:p>
    <w:p w14:paraId="7C5FBBF8" w14:textId="56DA57E7" w:rsidR="000F1AFE" w:rsidRPr="00BF6270" w:rsidRDefault="000F1AFE" w:rsidP="000278FF">
      <w:pPr>
        <w:tabs>
          <w:tab w:val="left" w:pos="7513"/>
        </w:tabs>
        <w:jc w:val="both"/>
        <w:rPr>
          <w:rFonts w:eastAsia="Lucida Sans Unicode"/>
          <w:szCs w:val="24"/>
        </w:rPr>
      </w:pPr>
    </w:p>
    <w:p w14:paraId="7FBB1373" w14:textId="77777777" w:rsidR="00627343" w:rsidRPr="00BF6270" w:rsidRDefault="00627343" w:rsidP="000F1AFE">
      <w:pPr>
        <w:tabs>
          <w:tab w:val="left" w:pos="7655"/>
        </w:tabs>
        <w:rPr>
          <w:b/>
        </w:rPr>
      </w:pPr>
    </w:p>
    <w:sectPr w:rsidR="00627343" w:rsidRPr="00BF6270" w:rsidSect="00024F90">
      <w:headerReference w:type="even" r:id="rId8"/>
      <w:headerReference w:type="default" r:id="rId9"/>
      <w:pgSz w:w="12240" w:h="15840"/>
      <w:pgMar w:top="567" w:right="851" w:bottom="567" w:left="1701" w:header="510" w:footer="51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AA4AD" w14:textId="77777777" w:rsidR="00024F90" w:rsidRDefault="00024F90">
      <w:r>
        <w:separator/>
      </w:r>
    </w:p>
  </w:endnote>
  <w:endnote w:type="continuationSeparator" w:id="0">
    <w:p w14:paraId="3779ABD1" w14:textId="77777777" w:rsidR="00024F90" w:rsidRDefault="0002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08C8A" w14:textId="77777777" w:rsidR="00024F90" w:rsidRDefault="00024F90">
      <w:r>
        <w:separator/>
      </w:r>
    </w:p>
  </w:footnote>
  <w:footnote w:type="continuationSeparator" w:id="0">
    <w:p w14:paraId="7FC60C8A" w14:textId="77777777" w:rsidR="00024F90" w:rsidRDefault="0002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B316" w14:textId="77777777" w:rsidR="00E962F0" w:rsidRDefault="00E962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D9F550" w14:textId="77777777" w:rsidR="00E962F0" w:rsidRDefault="00E96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58E83" w14:textId="77777777" w:rsidR="00E962F0" w:rsidRDefault="00E962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FB5">
      <w:rPr>
        <w:rStyle w:val="PageNumber"/>
        <w:noProof/>
      </w:rPr>
      <w:t>2</w:t>
    </w:r>
    <w:r>
      <w:rPr>
        <w:rStyle w:val="PageNumber"/>
      </w:rPr>
      <w:fldChar w:fldCharType="end"/>
    </w:r>
  </w:p>
  <w:p w14:paraId="6A48E8AA" w14:textId="77777777" w:rsidR="00E962F0" w:rsidRDefault="00E962F0">
    <w:pPr>
      <w:pStyle w:val="Header"/>
    </w:pPr>
  </w:p>
  <w:p w14:paraId="0A12C0FD" w14:textId="77777777" w:rsidR="00E962F0" w:rsidRDefault="00E96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F9"/>
    <w:rsid w:val="00000764"/>
    <w:rsid w:val="0000103D"/>
    <w:rsid w:val="000011AB"/>
    <w:rsid w:val="00003711"/>
    <w:rsid w:val="00003AFD"/>
    <w:rsid w:val="00004EB8"/>
    <w:rsid w:val="00011C0B"/>
    <w:rsid w:val="00023494"/>
    <w:rsid w:val="00024F90"/>
    <w:rsid w:val="000278FF"/>
    <w:rsid w:val="00027971"/>
    <w:rsid w:val="00035E79"/>
    <w:rsid w:val="00037C4F"/>
    <w:rsid w:val="000438CE"/>
    <w:rsid w:val="000469A4"/>
    <w:rsid w:val="000534D3"/>
    <w:rsid w:val="00055693"/>
    <w:rsid w:val="00056221"/>
    <w:rsid w:val="000612DE"/>
    <w:rsid w:val="00064A77"/>
    <w:rsid w:val="000728E6"/>
    <w:rsid w:val="00082986"/>
    <w:rsid w:val="000873AD"/>
    <w:rsid w:val="00091B8B"/>
    <w:rsid w:val="000973BA"/>
    <w:rsid w:val="000A0B99"/>
    <w:rsid w:val="000A25BC"/>
    <w:rsid w:val="000A43A4"/>
    <w:rsid w:val="000A6345"/>
    <w:rsid w:val="000B126D"/>
    <w:rsid w:val="000D310A"/>
    <w:rsid w:val="000E3412"/>
    <w:rsid w:val="000E378C"/>
    <w:rsid w:val="000F143E"/>
    <w:rsid w:val="000F14C1"/>
    <w:rsid w:val="000F1AFE"/>
    <w:rsid w:val="000F4998"/>
    <w:rsid w:val="001215D7"/>
    <w:rsid w:val="00133531"/>
    <w:rsid w:val="00137187"/>
    <w:rsid w:val="00137942"/>
    <w:rsid w:val="0015259B"/>
    <w:rsid w:val="001529A7"/>
    <w:rsid w:val="001557A6"/>
    <w:rsid w:val="00170D91"/>
    <w:rsid w:val="0017363F"/>
    <w:rsid w:val="001807C4"/>
    <w:rsid w:val="00181A42"/>
    <w:rsid w:val="00193675"/>
    <w:rsid w:val="00193A67"/>
    <w:rsid w:val="001A03F6"/>
    <w:rsid w:val="001A41D5"/>
    <w:rsid w:val="001B2BC6"/>
    <w:rsid w:val="001B46C3"/>
    <w:rsid w:val="001C2438"/>
    <w:rsid w:val="001C2D50"/>
    <w:rsid w:val="001D030A"/>
    <w:rsid w:val="001D1962"/>
    <w:rsid w:val="001F157B"/>
    <w:rsid w:val="00210CAE"/>
    <w:rsid w:val="002110C1"/>
    <w:rsid w:val="00212B8B"/>
    <w:rsid w:val="0021485B"/>
    <w:rsid w:val="002157DD"/>
    <w:rsid w:val="00217719"/>
    <w:rsid w:val="0022021A"/>
    <w:rsid w:val="00220A8C"/>
    <w:rsid w:val="00220DEF"/>
    <w:rsid w:val="00233551"/>
    <w:rsid w:val="00234813"/>
    <w:rsid w:val="00234CC0"/>
    <w:rsid w:val="00247A9C"/>
    <w:rsid w:val="00254FF6"/>
    <w:rsid w:val="0025665D"/>
    <w:rsid w:val="00260D99"/>
    <w:rsid w:val="002671BF"/>
    <w:rsid w:val="002719AF"/>
    <w:rsid w:val="00273859"/>
    <w:rsid w:val="00274C1D"/>
    <w:rsid w:val="00276739"/>
    <w:rsid w:val="00284379"/>
    <w:rsid w:val="002A3863"/>
    <w:rsid w:val="002A6B46"/>
    <w:rsid w:val="002A7C29"/>
    <w:rsid w:val="002B224E"/>
    <w:rsid w:val="002B638E"/>
    <w:rsid w:val="002B7562"/>
    <w:rsid w:val="002C6049"/>
    <w:rsid w:val="002D4915"/>
    <w:rsid w:val="002D54FE"/>
    <w:rsid w:val="002D615C"/>
    <w:rsid w:val="002D7C45"/>
    <w:rsid w:val="002E296E"/>
    <w:rsid w:val="002E38DB"/>
    <w:rsid w:val="002E534C"/>
    <w:rsid w:val="002E7D0F"/>
    <w:rsid w:val="002F159E"/>
    <w:rsid w:val="002F39AE"/>
    <w:rsid w:val="002F7519"/>
    <w:rsid w:val="0030204E"/>
    <w:rsid w:val="00302338"/>
    <w:rsid w:val="003105A2"/>
    <w:rsid w:val="00310C54"/>
    <w:rsid w:val="00321C94"/>
    <w:rsid w:val="003224DB"/>
    <w:rsid w:val="00325307"/>
    <w:rsid w:val="00325EC1"/>
    <w:rsid w:val="003507D4"/>
    <w:rsid w:val="00354F53"/>
    <w:rsid w:val="003611B7"/>
    <w:rsid w:val="00362A52"/>
    <w:rsid w:val="00362B29"/>
    <w:rsid w:val="003641A9"/>
    <w:rsid w:val="0037020F"/>
    <w:rsid w:val="003714E5"/>
    <w:rsid w:val="00371757"/>
    <w:rsid w:val="00374B8F"/>
    <w:rsid w:val="0038092F"/>
    <w:rsid w:val="00382B74"/>
    <w:rsid w:val="003901F2"/>
    <w:rsid w:val="00395142"/>
    <w:rsid w:val="003A228C"/>
    <w:rsid w:val="003A4552"/>
    <w:rsid w:val="003A4EEF"/>
    <w:rsid w:val="003A556A"/>
    <w:rsid w:val="003A5842"/>
    <w:rsid w:val="003C0D5A"/>
    <w:rsid w:val="003C646C"/>
    <w:rsid w:val="003D2871"/>
    <w:rsid w:val="003F0CCE"/>
    <w:rsid w:val="0040546E"/>
    <w:rsid w:val="004129EF"/>
    <w:rsid w:val="00421E65"/>
    <w:rsid w:val="00424D0B"/>
    <w:rsid w:val="00425DA7"/>
    <w:rsid w:val="004310D5"/>
    <w:rsid w:val="004313E1"/>
    <w:rsid w:val="004420F0"/>
    <w:rsid w:val="0044261C"/>
    <w:rsid w:val="00445E04"/>
    <w:rsid w:val="00453AB0"/>
    <w:rsid w:val="00455754"/>
    <w:rsid w:val="00455A59"/>
    <w:rsid w:val="00464442"/>
    <w:rsid w:val="0047375D"/>
    <w:rsid w:val="004740C4"/>
    <w:rsid w:val="00474B6D"/>
    <w:rsid w:val="00483927"/>
    <w:rsid w:val="004975C2"/>
    <w:rsid w:val="004B30EA"/>
    <w:rsid w:val="004B32A1"/>
    <w:rsid w:val="004B3D23"/>
    <w:rsid w:val="004D1191"/>
    <w:rsid w:val="004D644C"/>
    <w:rsid w:val="004E1A17"/>
    <w:rsid w:val="004E3660"/>
    <w:rsid w:val="004E5D9B"/>
    <w:rsid w:val="004F1AA6"/>
    <w:rsid w:val="004F4366"/>
    <w:rsid w:val="0050379D"/>
    <w:rsid w:val="005109A7"/>
    <w:rsid w:val="00510F1C"/>
    <w:rsid w:val="00515F45"/>
    <w:rsid w:val="00517778"/>
    <w:rsid w:val="005209F0"/>
    <w:rsid w:val="0052343F"/>
    <w:rsid w:val="00531F1F"/>
    <w:rsid w:val="0053611C"/>
    <w:rsid w:val="005444A8"/>
    <w:rsid w:val="00547C9E"/>
    <w:rsid w:val="00552881"/>
    <w:rsid w:val="00556C31"/>
    <w:rsid w:val="00562176"/>
    <w:rsid w:val="00563108"/>
    <w:rsid w:val="00564153"/>
    <w:rsid w:val="00564336"/>
    <w:rsid w:val="0056492B"/>
    <w:rsid w:val="005750C6"/>
    <w:rsid w:val="00584276"/>
    <w:rsid w:val="005905FB"/>
    <w:rsid w:val="00590FB5"/>
    <w:rsid w:val="005B3973"/>
    <w:rsid w:val="005C3BC7"/>
    <w:rsid w:val="005E34CC"/>
    <w:rsid w:val="005E4EA8"/>
    <w:rsid w:val="005E5AA7"/>
    <w:rsid w:val="005F6030"/>
    <w:rsid w:val="00603DF5"/>
    <w:rsid w:val="0060434D"/>
    <w:rsid w:val="006235CD"/>
    <w:rsid w:val="00624187"/>
    <w:rsid w:val="00624F2D"/>
    <w:rsid w:val="006269DC"/>
    <w:rsid w:val="00627343"/>
    <w:rsid w:val="0065712F"/>
    <w:rsid w:val="00661F8A"/>
    <w:rsid w:val="00663BFE"/>
    <w:rsid w:val="0066528B"/>
    <w:rsid w:val="0067246F"/>
    <w:rsid w:val="006740C3"/>
    <w:rsid w:val="00674C6B"/>
    <w:rsid w:val="00676B84"/>
    <w:rsid w:val="006811D4"/>
    <w:rsid w:val="00691E0F"/>
    <w:rsid w:val="00694C93"/>
    <w:rsid w:val="00695016"/>
    <w:rsid w:val="00696F5D"/>
    <w:rsid w:val="006A68D1"/>
    <w:rsid w:val="006B352F"/>
    <w:rsid w:val="006B6D5C"/>
    <w:rsid w:val="006C05EA"/>
    <w:rsid w:val="006C48AA"/>
    <w:rsid w:val="006D0F34"/>
    <w:rsid w:val="006D4E86"/>
    <w:rsid w:val="006D685E"/>
    <w:rsid w:val="006D7A3A"/>
    <w:rsid w:val="006E3C1E"/>
    <w:rsid w:val="006E418F"/>
    <w:rsid w:val="006F66AE"/>
    <w:rsid w:val="00704EE6"/>
    <w:rsid w:val="0071026C"/>
    <w:rsid w:val="0071052E"/>
    <w:rsid w:val="007133CD"/>
    <w:rsid w:val="00716371"/>
    <w:rsid w:val="00721DDB"/>
    <w:rsid w:val="007269FC"/>
    <w:rsid w:val="00731436"/>
    <w:rsid w:val="00743D00"/>
    <w:rsid w:val="007457D5"/>
    <w:rsid w:val="00746FE8"/>
    <w:rsid w:val="007478EE"/>
    <w:rsid w:val="00753E2E"/>
    <w:rsid w:val="00762B2A"/>
    <w:rsid w:val="007709F5"/>
    <w:rsid w:val="00774761"/>
    <w:rsid w:val="0077576E"/>
    <w:rsid w:val="00780D0D"/>
    <w:rsid w:val="00785A7B"/>
    <w:rsid w:val="007876D6"/>
    <w:rsid w:val="007925A9"/>
    <w:rsid w:val="007B43E1"/>
    <w:rsid w:val="007C1DA1"/>
    <w:rsid w:val="007C3D7B"/>
    <w:rsid w:val="007C7A81"/>
    <w:rsid w:val="007D1FE6"/>
    <w:rsid w:val="007D7F76"/>
    <w:rsid w:val="007E4405"/>
    <w:rsid w:val="007E552B"/>
    <w:rsid w:val="007F50A3"/>
    <w:rsid w:val="007F6CE8"/>
    <w:rsid w:val="0080671F"/>
    <w:rsid w:val="00810E5C"/>
    <w:rsid w:val="00811978"/>
    <w:rsid w:val="0081598C"/>
    <w:rsid w:val="00816B75"/>
    <w:rsid w:val="008234BD"/>
    <w:rsid w:val="008312E5"/>
    <w:rsid w:val="0083276D"/>
    <w:rsid w:val="00834E39"/>
    <w:rsid w:val="00835883"/>
    <w:rsid w:val="008538A4"/>
    <w:rsid w:val="00861F1C"/>
    <w:rsid w:val="008626DD"/>
    <w:rsid w:val="008674F9"/>
    <w:rsid w:val="00871FA9"/>
    <w:rsid w:val="00873C70"/>
    <w:rsid w:val="00881D5A"/>
    <w:rsid w:val="008A39F8"/>
    <w:rsid w:val="008B6110"/>
    <w:rsid w:val="008C014C"/>
    <w:rsid w:val="008C5514"/>
    <w:rsid w:val="008C5EC1"/>
    <w:rsid w:val="008D1D8C"/>
    <w:rsid w:val="008E7A25"/>
    <w:rsid w:val="008F0904"/>
    <w:rsid w:val="008F0F13"/>
    <w:rsid w:val="008F1B03"/>
    <w:rsid w:val="008F4A53"/>
    <w:rsid w:val="00900A07"/>
    <w:rsid w:val="00900C41"/>
    <w:rsid w:val="009041E8"/>
    <w:rsid w:val="00916B6F"/>
    <w:rsid w:val="0092029A"/>
    <w:rsid w:val="0094115F"/>
    <w:rsid w:val="00946A7C"/>
    <w:rsid w:val="00946B08"/>
    <w:rsid w:val="00951F64"/>
    <w:rsid w:val="009538E5"/>
    <w:rsid w:val="00957154"/>
    <w:rsid w:val="00964B70"/>
    <w:rsid w:val="00965992"/>
    <w:rsid w:val="00967F56"/>
    <w:rsid w:val="00971915"/>
    <w:rsid w:val="00973BB3"/>
    <w:rsid w:val="0098004B"/>
    <w:rsid w:val="00987B82"/>
    <w:rsid w:val="009962D1"/>
    <w:rsid w:val="0099773F"/>
    <w:rsid w:val="009A2487"/>
    <w:rsid w:val="009A341C"/>
    <w:rsid w:val="009B6F10"/>
    <w:rsid w:val="009B7B37"/>
    <w:rsid w:val="009D44DD"/>
    <w:rsid w:val="009D5DD2"/>
    <w:rsid w:val="009F5003"/>
    <w:rsid w:val="009F58D5"/>
    <w:rsid w:val="009F6E40"/>
    <w:rsid w:val="00A139AE"/>
    <w:rsid w:val="00A17EC1"/>
    <w:rsid w:val="00A202AA"/>
    <w:rsid w:val="00A203C8"/>
    <w:rsid w:val="00A33F07"/>
    <w:rsid w:val="00A369A1"/>
    <w:rsid w:val="00A45B6A"/>
    <w:rsid w:val="00A47602"/>
    <w:rsid w:val="00A50A1E"/>
    <w:rsid w:val="00A517C0"/>
    <w:rsid w:val="00A62568"/>
    <w:rsid w:val="00A66280"/>
    <w:rsid w:val="00A820D0"/>
    <w:rsid w:val="00A8480E"/>
    <w:rsid w:val="00A94AA6"/>
    <w:rsid w:val="00A95983"/>
    <w:rsid w:val="00A95D6A"/>
    <w:rsid w:val="00A95E6B"/>
    <w:rsid w:val="00AA1929"/>
    <w:rsid w:val="00AA547C"/>
    <w:rsid w:val="00AA5C72"/>
    <w:rsid w:val="00AB5642"/>
    <w:rsid w:val="00AB7F4D"/>
    <w:rsid w:val="00AD4ED7"/>
    <w:rsid w:val="00AE1D1B"/>
    <w:rsid w:val="00AF15D2"/>
    <w:rsid w:val="00AF2172"/>
    <w:rsid w:val="00AF5F22"/>
    <w:rsid w:val="00AF66A2"/>
    <w:rsid w:val="00B156BF"/>
    <w:rsid w:val="00B21DA2"/>
    <w:rsid w:val="00B2331D"/>
    <w:rsid w:val="00B23D88"/>
    <w:rsid w:val="00B26EEA"/>
    <w:rsid w:val="00B3550F"/>
    <w:rsid w:val="00B42BA2"/>
    <w:rsid w:val="00B42BC3"/>
    <w:rsid w:val="00B43DFF"/>
    <w:rsid w:val="00B44874"/>
    <w:rsid w:val="00B47B6C"/>
    <w:rsid w:val="00B47C11"/>
    <w:rsid w:val="00B5541B"/>
    <w:rsid w:val="00B62B9D"/>
    <w:rsid w:val="00B66A3A"/>
    <w:rsid w:val="00B670C5"/>
    <w:rsid w:val="00B6786C"/>
    <w:rsid w:val="00B73BB9"/>
    <w:rsid w:val="00B807F8"/>
    <w:rsid w:val="00B86BFC"/>
    <w:rsid w:val="00BA47EB"/>
    <w:rsid w:val="00BA6369"/>
    <w:rsid w:val="00BB3DDE"/>
    <w:rsid w:val="00BB57AA"/>
    <w:rsid w:val="00BB57DB"/>
    <w:rsid w:val="00BB73F4"/>
    <w:rsid w:val="00BC25B1"/>
    <w:rsid w:val="00BC60F8"/>
    <w:rsid w:val="00BD26ED"/>
    <w:rsid w:val="00BD32F1"/>
    <w:rsid w:val="00BD39A8"/>
    <w:rsid w:val="00BD5122"/>
    <w:rsid w:val="00BF6270"/>
    <w:rsid w:val="00BF6EF8"/>
    <w:rsid w:val="00C013C5"/>
    <w:rsid w:val="00C02A0A"/>
    <w:rsid w:val="00C050ED"/>
    <w:rsid w:val="00C17728"/>
    <w:rsid w:val="00C20BFC"/>
    <w:rsid w:val="00C21FBD"/>
    <w:rsid w:val="00C30DCB"/>
    <w:rsid w:val="00C31ADA"/>
    <w:rsid w:val="00C3646C"/>
    <w:rsid w:val="00C37B85"/>
    <w:rsid w:val="00C41532"/>
    <w:rsid w:val="00C429BF"/>
    <w:rsid w:val="00C42C8F"/>
    <w:rsid w:val="00C45979"/>
    <w:rsid w:val="00C4630F"/>
    <w:rsid w:val="00C46FEB"/>
    <w:rsid w:val="00C54240"/>
    <w:rsid w:val="00C6479A"/>
    <w:rsid w:val="00C70121"/>
    <w:rsid w:val="00C710AF"/>
    <w:rsid w:val="00C75E1F"/>
    <w:rsid w:val="00C8289D"/>
    <w:rsid w:val="00C8792C"/>
    <w:rsid w:val="00CA4AB0"/>
    <w:rsid w:val="00CB4421"/>
    <w:rsid w:val="00CB5E08"/>
    <w:rsid w:val="00CC7947"/>
    <w:rsid w:val="00CF00BB"/>
    <w:rsid w:val="00CF23E8"/>
    <w:rsid w:val="00CF447D"/>
    <w:rsid w:val="00D02697"/>
    <w:rsid w:val="00D0734C"/>
    <w:rsid w:val="00D11328"/>
    <w:rsid w:val="00D117A8"/>
    <w:rsid w:val="00D21396"/>
    <w:rsid w:val="00D247F6"/>
    <w:rsid w:val="00D31EA4"/>
    <w:rsid w:val="00D32E1E"/>
    <w:rsid w:val="00D4028F"/>
    <w:rsid w:val="00D655B8"/>
    <w:rsid w:val="00D72217"/>
    <w:rsid w:val="00D73CBB"/>
    <w:rsid w:val="00D75F9B"/>
    <w:rsid w:val="00D76990"/>
    <w:rsid w:val="00D8268C"/>
    <w:rsid w:val="00D82BD6"/>
    <w:rsid w:val="00D83E92"/>
    <w:rsid w:val="00DB59D4"/>
    <w:rsid w:val="00DB61E3"/>
    <w:rsid w:val="00DC4CC0"/>
    <w:rsid w:val="00DD076A"/>
    <w:rsid w:val="00DD1231"/>
    <w:rsid w:val="00DD5001"/>
    <w:rsid w:val="00DD638D"/>
    <w:rsid w:val="00DE1163"/>
    <w:rsid w:val="00DE25A5"/>
    <w:rsid w:val="00DE3664"/>
    <w:rsid w:val="00E01651"/>
    <w:rsid w:val="00E04EFA"/>
    <w:rsid w:val="00E053A3"/>
    <w:rsid w:val="00E10AE8"/>
    <w:rsid w:val="00E15373"/>
    <w:rsid w:val="00E3161C"/>
    <w:rsid w:val="00E37F26"/>
    <w:rsid w:val="00E56B3A"/>
    <w:rsid w:val="00E65BC5"/>
    <w:rsid w:val="00E70B90"/>
    <w:rsid w:val="00E81652"/>
    <w:rsid w:val="00E82496"/>
    <w:rsid w:val="00E90E43"/>
    <w:rsid w:val="00E94226"/>
    <w:rsid w:val="00E962F0"/>
    <w:rsid w:val="00EA516F"/>
    <w:rsid w:val="00EA5A55"/>
    <w:rsid w:val="00EB3702"/>
    <w:rsid w:val="00EC09E6"/>
    <w:rsid w:val="00ED14A2"/>
    <w:rsid w:val="00ED53DB"/>
    <w:rsid w:val="00EE7E68"/>
    <w:rsid w:val="00EF0C7A"/>
    <w:rsid w:val="00EF67B0"/>
    <w:rsid w:val="00F025C7"/>
    <w:rsid w:val="00F10325"/>
    <w:rsid w:val="00F13BA5"/>
    <w:rsid w:val="00F25859"/>
    <w:rsid w:val="00F276F9"/>
    <w:rsid w:val="00F31C4F"/>
    <w:rsid w:val="00F343B6"/>
    <w:rsid w:val="00F42756"/>
    <w:rsid w:val="00F51014"/>
    <w:rsid w:val="00F519E4"/>
    <w:rsid w:val="00F558ED"/>
    <w:rsid w:val="00F6177D"/>
    <w:rsid w:val="00F62699"/>
    <w:rsid w:val="00F664D2"/>
    <w:rsid w:val="00F74771"/>
    <w:rsid w:val="00F75849"/>
    <w:rsid w:val="00F85B4A"/>
    <w:rsid w:val="00F87843"/>
    <w:rsid w:val="00F87CD6"/>
    <w:rsid w:val="00F95A9F"/>
    <w:rsid w:val="00F978FB"/>
    <w:rsid w:val="00FA0AC0"/>
    <w:rsid w:val="00FA708F"/>
    <w:rsid w:val="00FB092C"/>
    <w:rsid w:val="00FB415E"/>
    <w:rsid w:val="00FB7DFB"/>
    <w:rsid w:val="00FC06D6"/>
    <w:rsid w:val="00FC2DE5"/>
    <w:rsid w:val="00FC4100"/>
    <w:rsid w:val="00FD098B"/>
    <w:rsid w:val="00FD2B48"/>
    <w:rsid w:val="00FD41AA"/>
    <w:rsid w:val="00FE17FF"/>
    <w:rsid w:val="00FE3409"/>
    <w:rsid w:val="00FF130E"/>
    <w:rsid w:val="00FF4C70"/>
    <w:rsid w:val="00FF5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3B2BD"/>
  <w15:docId w15:val="{703A5DFC-2299-43FA-9D12-4008591F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tLeast"/>
      <w:jc w:val="center"/>
    </w:pPr>
    <w:rPr>
      <w:rFonts w:ascii="Tahoma" w:hAnsi="Tahoma"/>
      <w:b/>
      <w:sz w:val="28"/>
    </w:rPr>
  </w:style>
  <w:style w:type="paragraph" w:styleId="BodyText">
    <w:name w:val="Body Text"/>
    <w:basedOn w:val="Normal"/>
    <w:link w:val="BodyTextChar"/>
    <w:pPr>
      <w:jc w:val="center"/>
    </w:pPr>
    <w:rPr>
      <w:b/>
      <w:bCs/>
      <w:sz w:val="26"/>
      <w:lang w:val="en-US"/>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E15373"/>
    <w:pPr>
      <w:spacing w:after="160" w:line="240" w:lineRule="exact"/>
      <w:jc w:val="both"/>
    </w:pPr>
    <w:rPr>
      <w:rFonts w:cs="Arial"/>
      <w:lang w:val="en-GB" w:eastAsia="en-GB"/>
    </w:rPr>
  </w:style>
  <w:style w:type="character" w:customStyle="1" w:styleId="BodyTextChar">
    <w:name w:val="Body Text Char"/>
    <w:link w:val="BodyText"/>
    <w:rsid w:val="000D310A"/>
    <w:rPr>
      <w:b/>
      <w:bCs/>
      <w:sz w:val="26"/>
      <w:lang w:val="en-US" w:eastAsia="en-US"/>
    </w:rPr>
  </w:style>
  <w:style w:type="paragraph" w:styleId="BodyTextIndent">
    <w:name w:val="Body Text Indent"/>
    <w:basedOn w:val="Normal"/>
    <w:link w:val="BodyTextIndentChar"/>
    <w:rsid w:val="00FC2DE5"/>
    <w:pPr>
      <w:spacing w:after="120"/>
      <w:ind w:left="283"/>
    </w:pPr>
  </w:style>
  <w:style w:type="character" w:customStyle="1" w:styleId="BodyTextIndentChar">
    <w:name w:val="Body Text Indent Char"/>
    <w:basedOn w:val="DefaultParagraphFont"/>
    <w:link w:val="BodyTextIndent"/>
    <w:rsid w:val="00FC2DE5"/>
    <w:rPr>
      <w:sz w:val="24"/>
      <w:lang w:eastAsia="en-US"/>
    </w:rPr>
  </w:style>
  <w:style w:type="paragraph" w:styleId="BalloonText">
    <w:name w:val="Balloon Text"/>
    <w:basedOn w:val="Normal"/>
    <w:link w:val="BalloonTextChar"/>
    <w:rsid w:val="003641A9"/>
    <w:rPr>
      <w:rFonts w:ascii="Tahoma" w:hAnsi="Tahoma" w:cs="Tahoma"/>
      <w:sz w:val="16"/>
      <w:szCs w:val="16"/>
    </w:rPr>
  </w:style>
  <w:style w:type="character" w:customStyle="1" w:styleId="BalloonTextChar">
    <w:name w:val="Balloon Text Char"/>
    <w:basedOn w:val="DefaultParagraphFont"/>
    <w:link w:val="BalloonText"/>
    <w:rsid w:val="00364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6720">
      <w:bodyDiv w:val="1"/>
      <w:marLeft w:val="0"/>
      <w:marRight w:val="0"/>
      <w:marTop w:val="0"/>
      <w:marBottom w:val="0"/>
      <w:divBdr>
        <w:top w:val="none" w:sz="0" w:space="0" w:color="auto"/>
        <w:left w:val="none" w:sz="0" w:space="0" w:color="auto"/>
        <w:bottom w:val="none" w:sz="0" w:space="0" w:color="auto"/>
        <w:right w:val="none" w:sz="0" w:space="0" w:color="auto"/>
      </w:divBdr>
    </w:div>
    <w:div w:id="257641365">
      <w:bodyDiv w:val="1"/>
      <w:marLeft w:val="0"/>
      <w:marRight w:val="0"/>
      <w:marTop w:val="0"/>
      <w:marBottom w:val="0"/>
      <w:divBdr>
        <w:top w:val="none" w:sz="0" w:space="0" w:color="auto"/>
        <w:left w:val="none" w:sz="0" w:space="0" w:color="auto"/>
        <w:bottom w:val="none" w:sz="0" w:space="0" w:color="auto"/>
        <w:right w:val="none" w:sz="0" w:space="0" w:color="auto"/>
      </w:divBdr>
    </w:div>
    <w:div w:id="433749557">
      <w:bodyDiv w:val="1"/>
      <w:marLeft w:val="0"/>
      <w:marRight w:val="0"/>
      <w:marTop w:val="0"/>
      <w:marBottom w:val="0"/>
      <w:divBdr>
        <w:top w:val="none" w:sz="0" w:space="0" w:color="auto"/>
        <w:left w:val="none" w:sz="0" w:space="0" w:color="auto"/>
        <w:bottom w:val="none" w:sz="0" w:space="0" w:color="auto"/>
        <w:right w:val="none" w:sz="0" w:space="0" w:color="auto"/>
      </w:divBdr>
    </w:div>
    <w:div w:id="719130590">
      <w:bodyDiv w:val="1"/>
      <w:marLeft w:val="0"/>
      <w:marRight w:val="0"/>
      <w:marTop w:val="0"/>
      <w:marBottom w:val="0"/>
      <w:divBdr>
        <w:top w:val="none" w:sz="0" w:space="0" w:color="auto"/>
        <w:left w:val="none" w:sz="0" w:space="0" w:color="auto"/>
        <w:bottom w:val="none" w:sz="0" w:space="0" w:color="auto"/>
        <w:right w:val="none" w:sz="0" w:space="0" w:color="auto"/>
      </w:divBdr>
    </w:div>
    <w:div w:id="763456379">
      <w:bodyDiv w:val="1"/>
      <w:marLeft w:val="0"/>
      <w:marRight w:val="0"/>
      <w:marTop w:val="0"/>
      <w:marBottom w:val="0"/>
      <w:divBdr>
        <w:top w:val="none" w:sz="0" w:space="0" w:color="auto"/>
        <w:left w:val="none" w:sz="0" w:space="0" w:color="auto"/>
        <w:bottom w:val="none" w:sz="0" w:space="0" w:color="auto"/>
        <w:right w:val="none" w:sz="0" w:space="0" w:color="auto"/>
      </w:divBdr>
    </w:div>
    <w:div w:id="920336079">
      <w:bodyDiv w:val="1"/>
      <w:marLeft w:val="0"/>
      <w:marRight w:val="0"/>
      <w:marTop w:val="0"/>
      <w:marBottom w:val="0"/>
      <w:divBdr>
        <w:top w:val="none" w:sz="0" w:space="0" w:color="auto"/>
        <w:left w:val="none" w:sz="0" w:space="0" w:color="auto"/>
        <w:bottom w:val="none" w:sz="0" w:space="0" w:color="auto"/>
        <w:right w:val="none" w:sz="0" w:space="0" w:color="auto"/>
      </w:divBdr>
    </w:div>
    <w:div w:id="938756573">
      <w:bodyDiv w:val="1"/>
      <w:marLeft w:val="0"/>
      <w:marRight w:val="0"/>
      <w:marTop w:val="0"/>
      <w:marBottom w:val="0"/>
      <w:divBdr>
        <w:top w:val="none" w:sz="0" w:space="0" w:color="auto"/>
        <w:left w:val="none" w:sz="0" w:space="0" w:color="auto"/>
        <w:bottom w:val="none" w:sz="0" w:space="0" w:color="auto"/>
        <w:right w:val="none" w:sz="0" w:space="0" w:color="auto"/>
      </w:divBdr>
    </w:div>
    <w:div w:id="1545365746">
      <w:bodyDiv w:val="1"/>
      <w:marLeft w:val="0"/>
      <w:marRight w:val="0"/>
      <w:marTop w:val="0"/>
      <w:marBottom w:val="0"/>
      <w:divBdr>
        <w:top w:val="none" w:sz="0" w:space="0" w:color="auto"/>
        <w:left w:val="none" w:sz="0" w:space="0" w:color="auto"/>
        <w:bottom w:val="none" w:sz="0" w:space="0" w:color="auto"/>
        <w:right w:val="none" w:sz="0" w:space="0" w:color="auto"/>
      </w:divBdr>
    </w:div>
    <w:div w:id="1840923166">
      <w:bodyDiv w:val="1"/>
      <w:marLeft w:val="0"/>
      <w:marRight w:val="0"/>
      <w:marTop w:val="0"/>
      <w:marBottom w:val="0"/>
      <w:divBdr>
        <w:top w:val="none" w:sz="0" w:space="0" w:color="auto"/>
        <w:left w:val="none" w:sz="0" w:space="0" w:color="auto"/>
        <w:bottom w:val="none" w:sz="0" w:space="0" w:color="auto"/>
        <w:right w:val="none" w:sz="0" w:space="0" w:color="auto"/>
      </w:divBdr>
    </w:div>
    <w:div w:id="18706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5594</Words>
  <Characters>3189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Z</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Tina Malaškevičienė</cp:lastModifiedBy>
  <cp:revision>8</cp:revision>
  <cp:lastPrinted>2024-04-25T11:26:00Z</cp:lastPrinted>
  <dcterms:created xsi:type="dcterms:W3CDTF">2024-04-24T05:57:00Z</dcterms:created>
  <dcterms:modified xsi:type="dcterms:W3CDTF">2024-04-25T11:26:00Z</dcterms:modified>
</cp:coreProperties>
</file>