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52A24EF" w14:textId="77777777" w:rsidR="008C693C" w:rsidRDefault="00C518E3" w:rsidP="00412BEE">
            <w:pPr>
              <w:jc w:val="center"/>
              <w:rPr>
                <w:rFonts w:ascii="Arial" w:hAnsi="Arial" w:cs="Arial"/>
                <w:b/>
                <w:bCs/>
                <w:sz w:val="20"/>
                <w:szCs w:val="20"/>
              </w:rPr>
            </w:pPr>
            <w:r w:rsidRPr="001B2971">
              <w:rPr>
                <w:rFonts w:ascii="Arial" w:hAnsi="Arial" w:cs="Arial"/>
                <w:b/>
                <w:bCs/>
                <w:sz w:val="20"/>
                <w:szCs w:val="20"/>
              </w:rPr>
              <w:t xml:space="preserve">         </w:t>
            </w:r>
            <w:r w:rsidR="00F47A64" w:rsidRPr="001B2971">
              <w:rPr>
                <w:rFonts w:ascii="Arial" w:hAnsi="Arial" w:cs="Arial"/>
                <w:b/>
                <w:bCs/>
                <w:sz w:val="20"/>
                <w:szCs w:val="20"/>
              </w:rPr>
              <w:t>TECHNINĖ SPECIFIKACIJA</w:t>
            </w:r>
          </w:p>
          <w:p w14:paraId="77454BC9" w14:textId="7A3500E0" w:rsidR="00412BEE" w:rsidRPr="001B2971" w:rsidRDefault="00412BEE" w:rsidP="00412BEE">
            <w:pPr>
              <w:jc w:val="center"/>
              <w:rPr>
                <w:rFonts w:ascii="Arial" w:hAnsi="Arial" w:cs="Arial"/>
                <w:b/>
                <w:bCs/>
                <w:sz w:val="20"/>
                <w:szCs w:val="20"/>
              </w:rPr>
            </w:pP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996B83" w14:textId="77777777" w:rsidR="008C693C"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p w14:paraId="38795C46" w14:textId="317AE9E2" w:rsidR="00412BEE" w:rsidRPr="001B2971" w:rsidRDefault="00412BEE" w:rsidP="002F3A23">
            <w:pPr>
              <w:pStyle w:val="Subtitle"/>
              <w:jc w:val="center"/>
              <w:rPr>
                <w:rFonts w:ascii="Arial" w:hAnsi="Arial" w:cs="Arial"/>
                <w:b/>
                <w:bCs/>
                <w:sz w:val="20"/>
                <w:szCs w:val="20"/>
                <w:u w:val="none"/>
                <w:lang w:val="en-GB"/>
              </w:rPr>
            </w:pPr>
          </w:p>
        </w:tc>
      </w:tr>
      <w:tr w:rsidR="001B2971" w:rsidRPr="001B2971" w14:paraId="0F7274FA" w14:textId="77777777" w:rsidTr="00BD0571">
        <w:tc>
          <w:tcPr>
            <w:tcW w:w="246" w:type="pct"/>
            <w:vAlign w:val="center"/>
          </w:tcPr>
          <w:p w14:paraId="3DB3B4F1" w14:textId="6E6050CF" w:rsidR="008C6AFA" w:rsidRPr="001B2971" w:rsidRDefault="008C6AFA" w:rsidP="002F3A23">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5D357963"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C54F2A">
              <w:rPr>
                <w:rFonts w:ascii="Arial" w:hAnsi="Arial" w:cs="Arial"/>
                <w:b/>
                <w:bCs/>
                <w:sz w:val="20"/>
                <w:szCs w:val="20"/>
              </w:rPr>
              <w:t>ą</w:t>
            </w:r>
            <w:r w:rsidRPr="001B2971">
              <w:rPr>
                <w:rFonts w:ascii="Arial" w:hAnsi="Arial" w:cs="Arial"/>
                <w:b/>
                <w:bCs/>
                <w:sz w:val="20"/>
                <w:szCs w:val="20"/>
              </w:rPr>
              <w:t xml:space="preserve"> prek</w:t>
            </w:r>
            <w:r w:rsidR="00C54F2A">
              <w:rPr>
                <w:rFonts w:ascii="Arial" w:hAnsi="Arial" w:cs="Arial"/>
                <w:b/>
                <w:bCs/>
                <w:sz w:val="20"/>
                <w:szCs w:val="20"/>
              </w:rPr>
              <w:t>ę</w:t>
            </w:r>
            <w:r w:rsidRPr="001B2971">
              <w:rPr>
                <w:rFonts w:ascii="Arial" w:hAnsi="Arial" w:cs="Arial"/>
                <w:b/>
                <w:bCs/>
                <w:sz w:val="20"/>
                <w:szCs w:val="20"/>
              </w:rPr>
              <w:t>:</w:t>
            </w:r>
          </w:p>
        </w:tc>
        <w:tc>
          <w:tcPr>
            <w:tcW w:w="2496" w:type="pct"/>
            <w:vAlign w:val="center"/>
          </w:tcPr>
          <w:p w14:paraId="2C212AC4" w14:textId="677EC027" w:rsidR="008C6AFA" w:rsidRPr="007B5675" w:rsidRDefault="00F47A64" w:rsidP="002F3A23">
            <w:pPr>
              <w:jc w:val="center"/>
              <w:rPr>
                <w:rFonts w:ascii="Arial" w:hAnsi="Arial" w:cs="Arial"/>
                <w:sz w:val="20"/>
                <w:szCs w:val="20"/>
                <w:lang w:val="en-US"/>
              </w:rPr>
            </w:pPr>
            <w:r w:rsidRPr="007B5675">
              <w:rPr>
                <w:rFonts w:ascii="Arial" w:hAnsi="Arial" w:cs="Arial"/>
                <w:b/>
                <w:sz w:val="20"/>
                <w:szCs w:val="20"/>
                <w:lang w:val="en-US"/>
              </w:rPr>
              <w:t>Information about purchasable good:</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2F3A23">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2DCE0B34" w14:textId="38C8F9FC" w:rsidR="008C6AFA" w:rsidRPr="001B2971" w:rsidRDefault="00BD0571" w:rsidP="002F3A23">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Perkam</w:t>
            </w:r>
            <w:r w:rsidR="00C54F2A">
              <w:rPr>
                <w:rFonts w:ascii="Arial" w:hAnsi="Arial" w:cs="Arial"/>
                <w:sz w:val="20"/>
                <w:szCs w:val="20"/>
              </w:rPr>
              <w:t>a</w:t>
            </w:r>
            <w:r w:rsidRPr="001B2971">
              <w:rPr>
                <w:rFonts w:ascii="Arial" w:hAnsi="Arial" w:cs="Arial"/>
                <w:sz w:val="20"/>
                <w:szCs w:val="20"/>
              </w:rPr>
              <w:t xml:space="preserve"> prekė: </w:t>
            </w:r>
            <w:r w:rsidR="009F6B18">
              <w:rPr>
                <w:rFonts w:ascii="Arial" w:hAnsi="Arial" w:cs="Arial"/>
                <w:sz w:val="20"/>
                <w:szCs w:val="20"/>
              </w:rPr>
              <w:t>s</w:t>
            </w:r>
            <w:r w:rsidR="003E125B">
              <w:rPr>
                <w:rFonts w:ascii="Arial" w:hAnsi="Arial" w:cs="Arial"/>
                <w:sz w:val="20"/>
                <w:szCs w:val="20"/>
              </w:rPr>
              <w:t>kyrikli</w:t>
            </w:r>
            <w:r w:rsidR="00C54F2A">
              <w:rPr>
                <w:rFonts w:ascii="Arial" w:hAnsi="Arial" w:cs="Arial"/>
                <w:sz w:val="20"/>
                <w:szCs w:val="20"/>
              </w:rPr>
              <w:t>s</w:t>
            </w:r>
            <w:r w:rsidR="00E94A0D">
              <w:rPr>
                <w:rFonts w:ascii="Arial" w:hAnsi="Arial" w:cs="Arial"/>
                <w:sz w:val="20"/>
                <w:szCs w:val="20"/>
              </w:rPr>
              <w:t xml:space="preserve"> </w:t>
            </w:r>
            <w:r w:rsidR="00F47A64" w:rsidRPr="001B2971">
              <w:rPr>
                <w:rFonts w:ascii="Arial" w:hAnsi="Arial" w:cs="Arial"/>
                <w:sz w:val="20"/>
                <w:szCs w:val="20"/>
              </w:rPr>
              <w:t>(toliau – Prekė).</w:t>
            </w:r>
          </w:p>
        </w:tc>
        <w:tc>
          <w:tcPr>
            <w:tcW w:w="2496" w:type="pct"/>
          </w:tcPr>
          <w:p w14:paraId="54908455" w14:textId="6AD83901" w:rsidR="008C6AFA" w:rsidRPr="007B5675" w:rsidRDefault="003F4C10" w:rsidP="002F3A23">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Purchasable good</w:t>
            </w:r>
            <w:r w:rsidR="00796758">
              <w:rPr>
                <w:rFonts w:ascii="Arial" w:hAnsi="Arial" w:cs="Arial"/>
                <w:sz w:val="20"/>
                <w:szCs w:val="20"/>
                <w:lang w:val="en-US"/>
              </w:rPr>
              <w:t>s</w:t>
            </w:r>
            <w:r w:rsidRPr="007B5675">
              <w:rPr>
                <w:rFonts w:ascii="Arial" w:hAnsi="Arial" w:cs="Arial"/>
                <w:sz w:val="20"/>
                <w:szCs w:val="20"/>
                <w:lang w:val="en-US"/>
              </w:rPr>
              <w:t xml:space="preserve">: </w:t>
            </w:r>
            <w:r w:rsidR="0026047E">
              <w:rPr>
                <w:rFonts w:ascii="Arial" w:hAnsi="Arial" w:cs="Arial"/>
                <w:sz w:val="20"/>
                <w:szCs w:val="20"/>
                <w:lang w:val="en-US"/>
              </w:rPr>
              <w:t>the</w:t>
            </w:r>
            <w:r w:rsidRPr="007B5675">
              <w:rPr>
                <w:rFonts w:ascii="Arial" w:hAnsi="Arial" w:cs="Arial"/>
                <w:sz w:val="20"/>
                <w:szCs w:val="20"/>
                <w:lang w:val="en-US"/>
              </w:rPr>
              <w:t xml:space="preserve"> </w:t>
            </w:r>
            <w:r w:rsidR="00097F79">
              <w:rPr>
                <w:rFonts w:ascii="Arial" w:hAnsi="Arial" w:cs="Arial"/>
                <w:sz w:val="20"/>
                <w:szCs w:val="20"/>
                <w:lang w:val="en-US"/>
              </w:rPr>
              <w:t>D</w:t>
            </w:r>
            <w:r w:rsidR="003E125B">
              <w:rPr>
                <w:rFonts w:ascii="Arial" w:hAnsi="Arial" w:cs="Arial"/>
                <w:sz w:val="20"/>
                <w:szCs w:val="20"/>
                <w:lang w:val="en-US"/>
              </w:rPr>
              <w:t>isconnector</w:t>
            </w:r>
            <w:r w:rsidR="00E94A0D">
              <w:rPr>
                <w:rFonts w:ascii="Arial" w:hAnsi="Arial" w:cs="Arial"/>
                <w:sz w:val="20"/>
                <w:szCs w:val="20"/>
                <w:lang w:val="en-US"/>
              </w:rPr>
              <w:t xml:space="preserve">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2F3A23">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D29BF45" w:rsidR="008C6AFA" w:rsidRPr="001B2971" w:rsidRDefault="00D07A94" w:rsidP="002F3A23">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w:t>
            </w:r>
            <w:r w:rsidR="00796758">
              <w:rPr>
                <w:rFonts w:ascii="Arial" w:hAnsi="Arial" w:cs="Arial"/>
                <w:sz w:val="20"/>
                <w:szCs w:val="20"/>
              </w:rPr>
              <w:t>ės</w:t>
            </w:r>
            <w:r w:rsidR="00BD0571" w:rsidRPr="001B2971">
              <w:rPr>
                <w:rFonts w:ascii="Arial" w:hAnsi="Arial" w:cs="Arial"/>
                <w:sz w:val="20"/>
                <w:szCs w:val="20"/>
              </w:rPr>
              <w:t xml:space="preserve"> p</w:t>
            </w:r>
            <w:r w:rsidR="00F47A64" w:rsidRPr="001B2971">
              <w:rPr>
                <w:rFonts w:ascii="Arial" w:hAnsi="Arial" w:cs="Arial"/>
                <w:sz w:val="20"/>
                <w:szCs w:val="20"/>
              </w:rPr>
              <w:t xml:space="preserve">ristatymo </w:t>
            </w:r>
            <w:r w:rsidRPr="001B2971">
              <w:rPr>
                <w:rFonts w:ascii="Arial" w:hAnsi="Arial" w:cs="Arial"/>
                <w:sz w:val="20"/>
                <w:szCs w:val="20"/>
              </w:rPr>
              <w:t>adresa</w:t>
            </w:r>
            <w:r w:rsidR="00805812">
              <w:rPr>
                <w:rFonts w:ascii="Arial" w:hAnsi="Arial" w:cs="Arial"/>
                <w:sz w:val="20"/>
                <w:szCs w:val="20"/>
              </w:rPr>
              <w:t>s</w:t>
            </w:r>
            <w:r w:rsidR="00F47A64" w:rsidRPr="001B2971">
              <w:rPr>
                <w:rFonts w:ascii="Arial" w:hAnsi="Arial" w:cs="Arial"/>
                <w:sz w:val="20"/>
                <w:szCs w:val="20"/>
              </w:rPr>
              <w:t xml:space="preserve">: </w:t>
            </w:r>
          </w:p>
        </w:tc>
        <w:tc>
          <w:tcPr>
            <w:tcW w:w="2496" w:type="pct"/>
            <w:vAlign w:val="center"/>
          </w:tcPr>
          <w:p w14:paraId="45AED671" w14:textId="79EABE00" w:rsidR="008C6AFA" w:rsidRPr="007B5675" w:rsidRDefault="001B2CDA" w:rsidP="002F3A23">
            <w:pPr>
              <w:pStyle w:val="ListParagraph"/>
              <w:tabs>
                <w:tab w:val="left" w:pos="426"/>
              </w:tabs>
              <w:ind w:left="0"/>
              <w:jc w:val="both"/>
              <w:rPr>
                <w:rFonts w:ascii="Arial" w:hAnsi="Arial" w:cs="Arial"/>
                <w:sz w:val="20"/>
                <w:szCs w:val="20"/>
                <w:lang w:val="en-US"/>
              </w:rPr>
            </w:pPr>
            <w:r w:rsidRPr="001B2CDA">
              <w:rPr>
                <w:rFonts w:ascii="Arial" w:hAnsi="Arial" w:cs="Arial"/>
                <w:sz w:val="20"/>
                <w:szCs w:val="20"/>
                <w:lang w:val="en-US"/>
              </w:rPr>
              <w:t>Delivery address of the goods</w:t>
            </w:r>
            <w:r w:rsidR="00F47A64" w:rsidRPr="007B5675">
              <w:rPr>
                <w:rFonts w:ascii="Arial" w:hAnsi="Arial" w:cs="Arial"/>
                <w:sz w:val="20"/>
                <w:szCs w:val="20"/>
                <w:lang w:val="en-US"/>
              </w:rPr>
              <w:t xml:space="preserve">: </w:t>
            </w:r>
          </w:p>
        </w:tc>
      </w:tr>
      <w:tr w:rsidR="001B2971" w:rsidRPr="001B2971" w14:paraId="7013D679" w14:textId="77777777" w:rsidTr="00BD0571">
        <w:tc>
          <w:tcPr>
            <w:tcW w:w="246" w:type="pct"/>
            <w:vAlign w:val="center"/>
          </w:tcPr>
          <w:p w14:paraId="3B1B9D7D" w14:textId="6480B4E0" w:rsidR="00BD0571" w:rsidRPr="001B2971" w:rsidRDefault="00BD0571" w:rsidP="002F3A23">
            <w:pPr>
              <w:jc w:val="center"/>
              <w:rPr>
                <w:rFonts w:ascii="Arial" w:hAnsi="Arial" w:cs="Arial"/>
                <w:sz w:val="20"/>
                <w:szCs w:val="20"/>
              </w:rPr>
            </w:pPr>
            <w:r w:rsidRPr="001B2971">
              <w:rPr>
                <w:rFonts w:ascii="Arial" w:hAnsi="Arial" w:cs="Arial"/>
                <w:sz w:val="20"/>
                <w:szCs w:val="20"/>
              </w:rPr>
              <w:t>1.2.1.</w:t>
            </w:r>
          </w:p>
        </w:tc>
        <w:tc>
          <w:tcPr>
            <w:tcW w:w="2258" w:type="pct"/>
            <w:vAlign w:val="center"/>
          </w:tcPr>
          <w:p w14:paraId="2D7590FD" w14:textId="47EC9EDF" w:rsidR="00BD0571" w:rsidRPr="001B2971" w:rsidRDefault="008E784E" w:rsidP="002F3A23">
            <w:pPr>
              <w:jc w:val="both"/>
              <w:rPr>
                <w:rFonts w:ascii="Arial" w:hAnsi="Arial" w:cs="Arial"/>
                <w:sz w:val="20"/>
                <w:szCs w:val="20"/>
              </w:rPr>
            </w:pPr>
            <w:r w:rsidRPr="008E784E">
              <w:rPr>
                <w:rFonts w:ascii="Arial" w:hAnsi="Arial" w:cs="Arial"/>
                <w:sz w:val="20"/>
                <w:szCs w:val="20"/>
              </w:rPr>
              <w:t xml:space="preserve">Šatrijos </w:t>
            </w:r>
            <w:proofErr w:type="spellStart"/>
            <w:r w:rsidRPr="008E784E">
              <w:rPr>
                <w:rFonts w:ascii="Arial" w:hAnsi="Arial" w:cs="Arial"/>
                <w:sz w:val="20"/>
                <w:szCs w:val="20"/>
              </w:rPr>
              <w:t>tak</w:t>
            </w:r>
            <w:proofErr w:type="spellEnd"/>
            <w:r w:rsidRPr="008E784E">
              <w:rPr>
                <w:rFonts w:ascii="Arial" w:hAnsi="Arial" w:cs="Arial"/>
                <w:sz w:val="20"/>
                <w:szCs w:val="20"/>
              </w:rPr>
              <w:t xml:space="preserve">. 19  </w:t>
            </w:r>
            <w:proofErr w:type="spellStart"/>
            <w:r w:rsidRPr="008E784E">
              <w:rPr>
                <w:rFonts w:ascii="Arial" w:hAnsi="Arial" w:cs="Arial"/>
                <w:sz w:val="20"/>
                <w:szCs w:val="20"/>
              </w:rPr>
              <w:t>Kiškėnų</w:t>
            </w:r>
            <w:proofErr w:type="spellEnd"/>
            <w:r w:rsidRPr="008E784E">
              <w:rPr>
                <w:rFonts w:ascii="Arial" w:hAnsi="Arial" w:cs="Arial"/>
                <w:sz w:val="20"/>
                <w:szCs w:val="20"/>
              </w:rPr>
              <w:t xml:space="preserve"> k., Klaipėdos raj. sav.</w:t>
            </w:r>
          </w:p>
        </w:tc>
        <w:tc>
          <w:tcPr>
            <w:tcW w:w="2496" w:type="pct"/>
            <w:vAlign w:val="center"/>
          </w:tcPr>
          <w:p w14:paraId="124805D1" w14:textId="493D6E3E" w:rsidR="00BD0571" w:rsidRPr="008E784E" w:rsidRDefault="008E784E" w:rsidP="002F3A23">
            <w:pPr>
              <w:pStyle w:val="ListParagraph"/>
              <w:tabs>
                <w:tab w:val="left" w:pos="426"/>
              </w:tabs>
              <w:ind w:left="0"/>
              <w:jc w:val="both"/>
              <w:rPr>
                <w:rFonts w:ascii="Arial" w:hAnsi="Arial" w:cs="Arial"/>
                <w:sz w:val="20"/>
                <w:szCs w:val="20"/>
              </w:rPr>
            </w:pPr>
            <w:r w:rsidRPr="008E784E">
              <w:rPr>
                <w:rFonts w:ascii="Arial" w:hAnsi="Arial" w:cs="Arial"/>
                <w:sz w:val="20"/>
                <w:szCs w:val="20"/>
              </w:rPr>
              <w:t xml:space="preserve">Šatrijos </w:t>
            </w:r>
            <w:proofErr w:type="spellStart"/>
            <w:r w:rsidRPr="008E784E">
              <w:rPr>
                <w:rFonts w:ascii="Arial" w:hAnsi="Arial" w:cs="Arial"/>
                <w:sz w:val="20"/>
                <w:szCs w:val="20"/>
              </w:rPr>
              <w:t>tak</w:t>
            </w:r>
            <w:proofErr w:type="spellEnd"/>
            <w:r w:rsidRPr="008E784E">
              <w:rPr>
                <w:rFonts w:ascii="Arial" w:hAnsi="Arial" w:cs="Arial"/>
                <w:sz w:val="20"/>
                <w:szCs w:val="20"/>
              </w:rPr>
              <w:t>. 19</w:t>
            </w:r>
            <w:r w:rsidR="001B2CDA">
              <w:rPr>
                <w:rFonts w:ascii="Arial" w:hAnsi="Arial" w:cs="Arial"/>
                <w:sz w:val="20"/>
                <w:szCs w:val="20"/>
              </w:rPr>
              <w:t>,</w:t>
            </w:r>
            <w:r w:rsidRPr="008E784E">
              <w:rPr>
                <w:rFonts w:ascii="Arial" w:hAnsi="Arial" w:cs="Arial"/>
                <w:sz w:val="20"/>
                <w:szCs w:val="20"/>
              </w:rPr>
              <w:t xml:space="preserve"> </w:t>
            </w:r>
            <w:proofErr w:type="spellStart"/>
            <w:r w:rsidRPr="008E784E">
              <w:rPr>
                <w:rFonts w:ascii="Arial" w:hAnsi="Arial" w:cs="Arial"/>
                <w:sz w:val="20"/>
                <w:szCs w:val="20"/>
              </w:rPr>
              <w:t>Kiškėnų</w:t>
            </w:r>
            <w:proofErr w:type="spellEnd"/>
            <w:r w:rsidRPr="008E784E">
              <w:rPr>
                <w:rFonts w:ascii="Arial" w:hAnsi="Arial" w:cs="Arial"/>
                <w:sz w:val="20"/>
                <w:szCs w:val="20"/>
              </w:rPr>
              <w:t xml:space="preserve"> k., Klaipėdos raj. sav.</w:t>
            </w:r>
          </w:p>
        </w:tc>
      </w:tr>
      <w:tr w:rsidR="00A07611" w:rsidRPr="00A07611" w14:paraId="3DCB3048" w14:textId="77777777" w:rsidTr="00BD0571">
        <w:tc>
          <w:tcPr>
            <w:tcW w:w="246" w:type="pct"/>
            <w:vAlign w:val="center"/>
          </w:tcPr>
          <w:p w14:paraId="4EC443A2" w14:textId="7686F6AC" w:rsidR="00A07611" w:rsidRPr="001B2971" w:rsidRDefault="00A07611" w:rsidP="002F3A23">
            <w:pPr>
              <w:jc w:val="center"/>
              <w:rPr>
                <w:rFonts w:ascii="Arial" w:hAnsi="Arial" w:cs="Arial"/>
                <w:sz w:val="20"/>
                <w:szCs w:val="20"/>
              </w:rPr>
            </w:pPr>
            <w:r>
              <w:rPr>
                <w:rFonts w:ascii="Arial" w:hAnsi="Arial" w:cs="Arial"/>
                <w:sz w:val="20"/>
                <w:szCs w:val="20"/>
              </w:rPr>
              <w:t>1.2.3.</w:t>
            </w:r>
          </w:p>
        </w:tc>
        <w:tc>
          <w:tcPr>
            <w:tcW w:w="2258" w:type="pct"/>
            <w:vAlign w:val="center"/>
          </w:tcPr>
          <w:p w14:paraId="5A638EB1" w14:textId="73EEEC1C" w:rsidR="00A07611" w:rsidRPr="001B2971" w:rsidRDefault="00A07611" w:rsidP="002F3A23">
            <w:pPr>
              <w:jc w:val="both"/>
              <w:rPr>
                <w:rFonts w:ascii="Arial" w:hAnsi="Arial" w:cs="Arial"/>
                <w:sz w:val="20"/>
                <w:szCs w:val="20"/>
              </w:rPr>
            </w:pPr>
            <w:r>
              <w:rPr>
                <w:rFonts w:ascii="Arial" w:hAnsi="Arial" w:cs="Arial"/>
                <w:sz w:val="20"/>
                <w:szCs w:val="20"/>
              </w:rPr>
              <w:t>Perkantysis subjektas prieš Prek</w:t>
            </w:r>
            <w:r w:rsidR="009B31C0">
              <w:rPr>
                <w:rFonts w:ascii="Arial" w:hAnsi="Arial" w:cs="Arial"/>
                <w:sz w:val="20"/>
                <w:szCs w:val="20"/>
              </w:rPr>
              <w:t>ės</w:t>
            </w:r>
            <w:r>
              <w:rPr>
                <w:rFonts w:ascii="Arial" w:hAnsi="Arial" w:cs="Arial"/>
                <w:sz w:val="20"/>
                <w:szCs w:val="20"/>
              </w:rPr>
              <w:t xml:space="preserve"> pristatymą gali patikslinti pristatymo adresą</w:t>
            </w:r>
            <w:r w:rsidR="00EF4621">
              <w:rPr>
                <w:rFonts w:ascii="Arial" w:hAnsi="Arial" w:cs="Arial"/>
                <w:sz w:val="20"/>
                <w:szCs w:val="20"/>
              </w:rPr>
              <w:t xml:space="preserve"> Lietuvos teritorijoje</w:t>
            </w:r>
            <w:r>
              <w:rPr>
                <w:rFonts w:ascii="Arial" w:hAnsi="Arial" w:cs="Arial"/>
                <w:sz w:val="20"/>
                <w:szCs w:val="20"/>
              </w:rPr>
              <w:t>, jeigu tam neprieštarauja Tiekėjas.</w:t>
            </w:r>
          </w:p>
        </w:tc>
        <w:tc>
          <w:tcPr>
            <w:tcW w:w="2496" w:type="pct"/>
            <w:vAlign w:val="center"/>
          </w:tcPr>
          <w:p w14:paraId="38660B45" w14:textId="2EFF956A" w:rsidR="00A07611" w:rsidRPr="00A07611" w:rsidRDefault="00A07611" w:rsidP="002F3A23">
            <w:pPr>
              <w:pStyle w:val="ListParagraph"/>
              <w:tabs>
                <w:tab w:val="left" w:pos="426"/>
              </w:tabs>
              <w:ind w:left="0"/>
              <w:jc w:val="both"/>
              <w:rPr>
                <w:rFonts w:ascii="Arial" w:hAnsi="Arial" w:cs="Arial"/>
                <w:sz w:val="20"/>
                <w:szCs w:val="20"/>
              </w:rPr>
            </w:pPr>
            <w:r w:rsidRPr="00A07611">
              <w:rPr>
                <w:rFonts w:ascii="Arial" w:hAnsi="Arial" w:cs="Arial"/>
                <w:sz w:val="20"/>
                <w:szCs w:val="20"/>
                <w:lang w:val="en-US"/>
              </w:rPr>
              <w:t xml:space="preserve">The </w:t>
            </w:r>
            <w:r w:rsidR="00D57032">
              <w:rPr>
                <w:rFonts w:ascii="Arial" w:hAnsi="Arial" w:cs="Arial"/>
                <w:sz w:val="20"/>
                <w:szCs w:val="20"/>
                <w:lang w:val="en-US"/>
              </w:rPr>
              <w:t>Contracting</w:t>
            </w:r>
            <w:r w:rsidRPr="00A07611">
              <w:rPr>
                <w:rFonts w:ascii="Arial" w:hAnsi="Arial" w:cs="Arial"/>
                <w:sz w:val="20"/>
                <w:szCs w:val="20"/>
                <w:lang w:val="en-US"/>
              </w:rPr>
              <w:t xml:space="preserve"> entity may specify the delivery address </w:t>
            </w:r>
            <w:r w:rsidR="00EF4621">
              <w:rPr>
                <w:rFonts w:ascii="Arial" w:hAnsi="Arial" w:cs="Arial"/>
                <w:sz w:val="20"/>
                <w:szCs w:val="20"/>
                <w:lang w:val="en-US"/>
              </w:rPr>
              <w:t xml:space="preserve">in Lithuania </w:t>
            </w:r>
            <w:r w:rsidRPr="00A07611">
              <w:rPr>
                <w:rFonts w:ascii="Arial" w:hAnsi="Arial" w:cs="Arial"/>
                <w:sz w:val="20"/>
                <w:szCs w:val="20"/>
                <w:lang w:val="en-US"/>
              </w:rPr>
              <w:t>before the delivery of the Goods, if the Supplier does not object.</w:t>
            </w:r>
          </w:p>
        </w:tc>
      </w:tr>
      <w:tr w:rsidR="00A07611" w:rsidRPr="00A07611" w14:paraId="21EA0930" w14:textId="77777777" w:rsidTr="00BD0571">
        <w:tc>
          <w:tcPr>
            <w:tcW w:w="246" w:type="pct"/>
            <w:vAlign w:val="center"/>
          </w:tcPr>
          <w:p w14:paraId="54215C05" w14:textId="7B050C2C" w:rsidR="00A07611" w:rsidRDefault="00A07611" w:rsidP="002F3A23">
            <w:pPr>
              <w:jc w:val="center"/>
              <w:rPr>
                <w:rFonts w:ascii="Arial" w:hAnsi="Arial" w:cs="Arial"/>
                <w:sz w:val="20"/>
                <w:szCs w:val="20"/>
              </w:rPr>
            </w:pPr>
            <w:r>
              <w:rPr>
                <w:rFonts w:ascii="Arial" w:hAnsi="Arial" w:cs="Arial"/>
                <w:sz w:val="20"/>
                <w:szCs w:val="20"/>
              </w:rPr>
              <w:t>1.3.</w:t>
            </w:r>
          </w:p>
        </w:tc>
        <w:tc>
          <w:tcPr>
            <w:tcW w:w="2258" w:type="pct"/>
            <w:vAlign w:val="center"/>
          </w:tcPr>
          <w:p w14:paraId="506A4096" w14:textId="342ED5D2" w:rsidR="00D21F89" w:rsidRDefault="00A07611" w:rsidP="002F3A23">
            <w:pPr>
              <w:jc w:val="both"/>
              <w:rPr>
                <w:rFonts w:ascii="Arial" w:hAnsi="Arial" w:cs="Arial"/>
                <w:sz w:val="20"/>
                <w:szCs w:val="20"/>
              </w:rPr>
            </w:pPr>
            <w:r>
              <w:rPr>
                <w:rFonts w:ascii="Arial" w:hAnsi="Arial" w:cs="Arial"/>
                <w:sz w:val="20"/>
                <w:szCs w:val="20"/>
              </w:rPr>
              <w:t>Prek</w:t>
            </w:r>
            <w:r w:rsidR="009B31C0">
              <w:rPr>
                <w:rFonts w:ascii="Arial" w:hAnsi="Arial" w:cs="Arial"/>
                <w:sz w:val="20"/>
                <w:szCs w:val="20"/>
              </w:rPr>
              <w:t>ės</w:t>
            </w:r>
            <w:r>
              <w:rPr>
                <w:rFonts w:ascii="Arial" w:hAnsi="Arial" w:cs="Arial"/>
                <w:sz w:val="20"/>
                <w:szCs w:val="20"/>
              </w:rPr>
              <w:t xml:space="preserve">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7BA6903E" w:rsidR="00A07611" w:rsidRDefault="00D21F89" w:rsidP="002F3A23">
            <w:pPr>
              <w:jc w:val="both"/>
              <w:rPr>
                <w:rFonts w:ascii="Arial" w:hAnsi="Arial" w:cs="Arial"/>
                <w:sz w:val="20"/>
                <w:szCs w:val="20"/>
              </w:rPr>
            </w:pPr>
            <w:r>
              <w:rPr>
                <w:rFonts w:ascii="Arial" w:hAnsi="Arial" w:cs="Arial"/>
                <w:sz w:val="20"/>
                <w:szCs w:val="20"/>
              </w:rPr>
              <w:t>Pažeidus šio punkto reikalavimus Perkantysis subjektas gali nepriimti Prek</w:t>
            </w:r>
            <w:r w:rsidR="002B2CF1">
              <w:rPr>
                <w:rFonts w:ascii="Arial" w:hAnsi="Arial" w:cs="Arial"/>
                <w:sz w:val="20"/>
                <w:szCs w:val="20"/>
              </w:rPr>
              <w:t>ės</w:t>
            </w:r>
            <w:r>
              <w:rPr>
                <w:rFonts w:ascii="Arial" w:hAnsi="Arial" w:cs="Arial"/>
                <w:sz w:val="20"/>
                <w:szCs w:val="20"/>
              </w:rPr>
              <w:t xml:space="preserve"> ir/ar neįleisti Tiekėjo į sandėlio teritoriją, nepratęsiant Sutarties termino. </w:t>
            </w:r>
          </w:p>
        </w:tc>
        <w:tc>
          <w:tcPr>
            <w:tcW w:w="2496"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BD0571">
        <w:trPr>
          <w:trHeight w:val="569"/>
        </w:trPr>
        <w:tc>
          <w:tcPr>
            <w:tcW w:w="246" w:type="pct"/>
            <w:vAlign w:val="center"/>
          </w:tcPr>
          <w:p w14:paraId="0FBFC4CA" w14:textId="56ED2F27" w:rsidR="00D07A94" w:rsidRPr="001B2971" w:rsidRDefault="00D07A94" w:rsidP="002F3A23">
            <w:pPr>
              <w:jc w:val="center"/>
              <w:rPr>
                <w:rFonts w:ascii="Arial" w:hAnsi="Arial" w:cs="Arial"/>
                <w:sz w:val="20"/>
                <w:szCs w:val="20"/>
              </w:rPr>
            </w:pPr>
            <w:r w:rsidRPr="001B2971">
              <w:rPr>
                <w:rFonts w:ascii="Arial" w:hAnsi="Arial" w:cs="Arial"/>
                <w:sz w:val="20"/>
                <w:szCs w:val="20"/>
              </w:rPr>
              <w:t>1.</w:t>
            </w:r>
            <w:r w:rsidR="008E784E">
              <w:rPr>
                <w:rFonts w:ascii="Arial" w:hAnsi="Arial" w:cs="Arial"/>
                <w:sz w:val="20"/>
                <w:szCs w:val="20"/>
              </w:rPr>
              <w:t>4</w:t>
            </w:r>
            <w:r w:rsidRPr="001B2971">
              <w:rPr>
                <w:rFonts w:ascii="Arial" w:hAnsi="Arial" w:cs="Arial"/>
                <w:sz w:val="20"/>
                <w:szCs w:val="20"/>
              </w:rPr>
              <w:t>.</w:t>
            </w:r>
          </w:p>
        </w:tc>
        <w:tc>
          <w:tcPr>
            <w:tcW w:w="2258" w:type="pct"/>
            <w:vAlign w:val="center"/>
          </w:tcPr>
          <w:p w14:paraId="4AED3D91" w14:textId="4C28F0F0" w:rsidR="00990F81" w:rsidRPr="00990F81"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2B2CF1">
              <w:rPr>
                <w:rFonts w:ascii="Arial" w:hAnsi="Arial" w:cs="Arial"/>
                <w:sz w:val="20"/>
                <w:szCs w:val="20"/>
              </w:rPr>
              <w:t>ei</w:t>
            </w:r>
            <w:r w:rsidRPr="001B2971">
              <w:rPr>
                <w:rFonts w:ascii="Arial" w:hAnsi="Arial" w:cs="Arial"/>
                <w:sz w:val="20"/>
                <w:szCs w:val="20"/>
              </w:rPr>
              <w:t xml:space="preserve"> nurodyti šios Techninės specifikacijos </w:t>
            </w:r>
            <w:r w:rsidR="008E784E">
              <w:rPr>
                <w:rFonts w:ascii="Arial" w:hAnsi="Arial" w:cs="Arial"/>
                <w:sz w:val="20"/>
                <w:szCs w:val="20"/>
              </w:rPr>
              <w:t>2</w:t>
            </w:r>
            <w:r w:rsidR="002B2CF1">
              <w:rPr>
                <w:rFonts w:ascii="Arial" w:hAnsi="Arial" w:cs="Arial"/>
                <w:sz w:val="20"/>
                <w:szCs w:val="20"/>
              </w:rPr>
              <w:t> </w:t>
            </w:r>
            <w:r w:rsidRPr="001B2971">
              <w:rPr>
                <w:rFonts w:ascii="Arial" w:hAnsi="Arial" w:cs="Arial"/>
                <w:sz w:val="20"/>
                <w:szCs w:val="20"/>
              </w:rPr>
              <w:t>priede.</w:t>
            </w:r>
            <w:r w:rsidR="00990F81">
              <w:rPr>
                <w:rFonts w:ascii="Arial" w:hAnsi="Arial" w:cs="Arial"/>
                <w:sz w:val="20"/>
                <w:szCs w:val="20"/>
              </w:rPr>
              <w:t xml:space="preserve"> </w:t>
            </w:r>
          </w:p>
        </w:tc>
        <w:tc>
          <w:tcPr>
            <w:tcW w:w="2496" w:type="pct"/>
            <w:vAlign w:val="center"/>
          </w:tcPr>
          <w:p w14:paraId="0A5FC8C2" w14:textId="6857CF14" w:rsidR="00990F81"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 xml:space="preserve">Technical requirements for Goods are specified in Annex </w:t>
            </w:r>
            <w:r w:rsidR="008E784E">
              <w:rPr>
                <w:rFonts w:ascii="Arial" w:hAnsi="Arial" w:cs="Arial"/>
                <w:sz w:val="20"/>
                <w:szCs w:val="20"/>
                <w:lang w:val="en-US" w:eastAsia="zh-CN"/>
              </w:rPr>
              <w:t xml:space="preserve">2 </w:t>
            </w:r>
            <w:r w:rsidRPr="001677AF">
              <w:rPr>
                <w:rFonts w:ascii="Arial" w:hAnsi="Arial" w:cs="Arial"/>
                <w:sz w:val="20"/>
                <w:szCs w:val="20"/>
                <w:lang w:val="en-US" w:eastAsia="zh-CN"/>
              </w:rPr>
              <w:t>to the Technical Specification.</w:t>
            </w:r>
          </w:p>
        </w:tc>
      </w:tr>
      <w:tr w:rsidR="00F86665" w:rsidRPr="001B2971" w14:paraId="310C3A03" w14:textId="77777777" w:rsidTr="00BD0571">
        <w:trPr>
          <w:trHeight w:val="373"/>
        </w:trPr>
        <w:tc>
          <w:tcPr>
            <w:tcW w:w="246" w:type="pct"/>
            <w:vAlign w:val="center"/>
          </w:tcPr>
          <w:p w14:paraId="45DA0D71" w14:textId="79BE5CBF" w:rsidR="00F86665" w:rsidRPr="001B2971" w:rsidRDefault="00F86665" w:rsidP="00F86665">
            <w:pPr>
              <w:jc w:val="center"/>
              <w:rPr>
                <w:rFonts w:ascii="Arial" w:hAnsi="Arial" w:cs="Arial"/>
                <w:sz w:val="20"/>
                <w:szCs w:val="20"/>
              </w:rPr>
            </w:pPr>
            <w:r w:rsidRPr="001B2971">
              <w:rPr>
                <w:rFonts w:ascii="Arial" w:hAnsi="Arial" w:cs="Arial"/>
                <w:sz w:val="20"/>
                <w:szCs w:val="20"/>
              </w:rPr>
              <w:t>1.</w:t>
            </w:r>
            <w:r>
              <w:rPr>
                <w:rFonts w:ascii="Arial" w:hAnsi="Arial" w:cs="Arial"/>
                <w:sz w:val="20"/>
                <w:szCs w:val="20"/>
              </w:rPr>
              <w:t>5</w:t>
            </w:r>
            <w:r w:rsidRPr="001B2971">
              <w:rPr>
                <w:rFonts w:ascii="Arial" w:hAnsi="Arial" w:cs="Arial"/>
                <w:sz w:val="20"/>
                <w:szCs w:val="20"/>
              </w:rPr>
              <w:t>.</w:t>
            </w:r>
          </w:p>
        </w:tc>
        <w:tc>
          <w:tcPr>
            <w:tcW w:w="2258" w:type="pct"/>
            <w:vAlign w:val="center"/>
          </w:tcPr>
          <w:p w14:paraId="594278E6" w14:textId="5E6C364C" w:rsidR="00F86665" w:rsidRPr="001B2971" w:rsidRDefault="00F86665" w:rsidP="00F86665">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 turi būti nauj</w:t>
            </w:r>
            <w:r w:rsidR="002B2CF1">
              <w:rPr>
                <w:rFonts w:ascii="Arial" w:hAnsi="Arial" w:cs="Arial"/>
                <w:sz w:val="20"/>
                <w:szCs w:val="20"/>
                <w:lang w:eastAsia="zh-CN"/>
              </w:rPr>
              <w:t>a</w:t>
            </w:r>
            <w:r w:rsidRPr="001B2971">
              <w:rPr>
                <w:rFonts w:ascii="Arial" w:hAnsi="Arial" w:cs="Arial"/>
                <w:sz w:val="20"/>
                <w:szCs w:val="20"/>
                <w:lang w:eastAsia="zh-CN"/>
              </w:rPr>
              <w:t>, anksčiau niekur nenaudot</w:t>
            </w:r>
            <w:r w:rsidR="002B2CF1">
              <w:rPr>
                <w:rFonts w:ascii="Arial" w:hAnsi="Arial" w:cs="Arial"/>
                <w:sz w:val="20"/>
                <w:szCs w:val="20"/>
                <w:lang w:eastAsia="zh-CN"/>
              </w:rPr>
              <w:t>a</w:t>
            </w:r>
            <w:r w:rsidRPr="001B2971">
              <w:rPr>
                <w:rFonts w:ascii="Arial" w:hAnsi="Arial" w:cs="Arial"/>
                <w:sz w:val="20"/>
                <w:szCs w:val="20"/>
                <w:lang w:eastAsia="zh-CN"/>
              </w:rPr>
              <w:t>, tinkam</w:t>
            </w:r>
            <w:r w:rsidR="002B2CF1">
              <w:rPr>
                <w:rFonts w:ascii="Arial" w:hAnsi="Arial" w:cs="Arial"/>
                <w:sz w:val="20"/>
                <w:szCs w:val="20"/>
                <w:lang w:eastAsia="zh-CN"/>
              </w:rPr>
              <w:t>a</w:t>
            </w:r>
            <w:r w:rsidRPr="001B2971">
              <w:rPr>
                <w:rFonts w:ascii="Arial" w:hAnsi="Arial" w:cs="Arial"/>
                <w:sz w:val="20"/>
                <w:szCs w:val="20"/>
                <w:lang w:eastAsia="zh-CN"/>
              </w:rPr>
              <w:t xml:space="preserve"> naudoti pagal paskirtį. </w:t>
            </w:r>
          </w:p>
        </w:tc>
        <w:tc>
          <w:tcPr>
            <w:tcW w:w="2496" w:type="pct"/>
            <w:vAlign w:val="center"/>
          </w:tcPr>
          <w:p w14:paraId="6624E904" w14:textId="6227CC79" w:rsidR="00F86665" w:rsidRPr="001677AF" w:rsidRDefault="00F86665" w:rsidP="00F86665">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F86665" w:rsidRPr="001B2971" w14:paraId="357B4808" w14:textId="77777777" w:rsidTr="001677AF">
        <w:trPr>
          <w:trHeight w:val="845"/>
        </w:trPr>
        <w:tc>
          <w:tcPr>
            <w:tcW w:w="246" w:type="pct"/>
            <w:vAlign w:val="center"/>
          </w:tcPr>
          <w:p w14:paraId="6694E4F9" w14:textId="68E5ACB4" w:rsidR="00F86665" w:rsidRPr="001B2971" w:rsidRDefault="00F86665" w:rsidP="00F86665">
            <w:pPr>
              <w:jc w:val="center"/>
              <w:rPr>
                <w:rFonts w:ascii="Arial" w:hAnsi="Arial" w:cs="Arial"/>
                <w:sz w:val="20"/>
                <w:szCs w:val="20"/>
              </w:rPr>
            </w:pPr>
            <w:r w:rsidRPr="001B2971">
              <w:rPr>
                <w:rFonts w:ascii="Arial" w:hAnsi="Arial" w:cs="Arial"/>
                <w:sz w:val="20"/>
                <w:szCs w:val="20"/>
              </w:rPr>
              <w:t>1.</w:t>
            </w:r>
            <w:r>
              <w:rPr>
                <w:rFonts w:ascii="Arial" w:hAnsi="Arial" w:cs="Arial"/>
                <w:sz w:val="20"/>
                <w:szCs w:val="20"/>
              </w:rPr>
              <w:t>6</w:t>
            </w:r>
            <w:r w:rsidRPr="001B2971">
              <w:rPr>
                <w:rFonts w:ascii="Arial" w:hAnsi="Arial" w:cs="Arial"/>
                <w:sz w:val="20"/>
                <w:szCs w:val="20"/>
              </w:rPr>
              <w:t>.</w:t>
            </w:r>
          </w:p>
        </w:tc>
        <w:tc>
          <w:tcPr>
            <w:tcW w:w="2258" w:type="pct"/>
          </w:tcPr>
          <w:p w14:paraId="79212255" w14:textId="72D65589" w:rsidR="00F86665" w:rsidRPr="001B2971" w:rsidRDefault="00F86665" w:rsidP="00F86665">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 turi būti supakuota gamyklinėje pakuotėje. Prekė pristatom</w:t>
            </w:r>
            <w:r w:rsidR="007C3891">
              <w:rPr>
                <w:rFonts w:ascii="Arial" w:hAnsi="Arial" w:cs="Arial"/>
                <w:sz w:val="20"/>
                <w:szCs w:val="20"/>
                <w:lang w:eastAsia="zh-CN"/>
              </w:rPr>
              <w:t>a</w:t>
            </w:r>
            <w:r w:rsidRPr="001B2971">
              <w:rPr>
                <w:rFonts w:ascii="Arial" w:hAnsi="Arial" w:cs="Arial"/>
                <w:sz w:val="20"/>
                <w:szCs w:val="20"/>
                <w:lang w:eastAsia="zh-CN"/>
              </w:rPr>
              <w:t xml:space="preserve"> nepažeisto</w:t>
            </w:r>
            <w:r w:rsidR="007C3891">
              <w:rPr>
                <w:rFonts w:ascii="Arial" w:hAnsi="Arial" w:cs="Arial"/>
                <w:sz w:val="20"/>
                <w:szCs w:val="20"/>
                <w:lang w:eastAsia="zh-CN"/>
              </w:rPr>
              <w:t>j</w:t>
            </w:r>
            <w:r w:rsidRPr="001B2971">
              <w:rPr>
                <w:rFonts w:ascii="Arial" w:hAnsi="Arial" w:cs="Arial"/>
                <w:sz w:val="20"/>
                <w:szCs w:val="20"/>
                <w:lang w:eastAsia="zh-CN"/>
              </w:rPr>
              <w:t>e gamyklinė</w:t>
            </w:r>
            <w:r w:rsidR="007C3891">
              <w:rPr>
                <w:rFonts w:ascii="Arial" w:hAnsi="Arial" w:cs="Arial"/>
                <w:sz w:val="20"/>
                <w:szCs w:val="20"/>
                <w:lang w:eastAsia="zh-CN"/>
              </w:rPr>
              <w:t>j</w:t>
            </w:r>
            <w:r w:rsidRPr="001B2971">
              <w:rPr>
                <w:rFonts w:ascii="Arial" w:hAnsi="Arial" w:cs="Arial"/>
                <w:sz w:val="20"/>
                <w:szCs w:val="20"/>
                <w:lang w:eastAsia="zh-CN"/>
              </w:rPr>
              <w:t>e pakuotė</w:t>
            </w:r>
            <w:r w:rsidR="007C3891">
              <w:rPr>
                <w:rFonts w:ascii="Arial" w:hAnsi="Arial" w:cs="Arial"/>
                <w:sz w:val="20"/>
                <w:szCs w:val="20"/>
                <w:lang w:eastAsia="zh-CN"/>
              </w:rPr>
              <w:t>j</w:t>
            </w:r>
            <w:r w:rsidRPr="001B2971">
              <w:rPr>
                <w:rFonts w:ascii="Arial" w:hAnsi="Arial" w:cs="Arial"/>
                <w:sz w:val="20"/>
                <w:szCs w:val="20"/>
                <w:lang w:eastAsia="zh-CN"/>
              </w:rPr>
              <w:t>e (pakuotė turi būti be mechaninių pažeidimų, nepažeista drėgmės ir kitų veiksnių).</w:t>
            </w:r>
          </w:p>
        </w:tc>
        <w:tc>
          <w:tcPr>
            <w:tcW w:w="2496" w:type="pct"/>
          </w:tcPr>
          <w:p w14:paraId="072F1D14" w14:textId="29DB83E8" w:rsidR="00F86665" w:rsidRPr="007B5675" w:rsidRDefault="00F86665" w:rsidP="00F86665">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F86665" w:rsidRPr="001B2971" w14:paraId="44C37F55" w14:textId="77777777" w:rsidTr="00BD0571">
        <w:trPr>
          <w:trHeight w:val="293"/>
        </w:trPr>
        <w:tc>
          <w:tcPr>
            <w:tcW w:w="246" w:type="pct"/>
            <w:vAlign w:val="center"/>
          </w:tcPr>
          <w:p w14:paraId="5587247C" w14:textId="60CA037C" w:rsidR="00F86665" w:rsidRPr="001B2971" w:rsidRDefault="00F86665" w:rsidP="00F86665">
            <w:pPr>
              <w:jc w:val="center"/>
              <w:rPr>
                <w:rFonts w:ascii="Arial" w:hAnsi="Arial" w:cs="Arial"/>
                <w:sz w:val="20"/>
                <w:szCs w:val="20"/>
              </w:rPr>
            </w:pPr>
            <w:r w:rsidRPr="001B2971">
              <w:rPr>
                <w:rFonts w:ascii="Arial" w:hAnsi="Arial" w:cs="Arial"/>
                <w:sz w:val="20"/>
                <w:szCs w:val="20"/>
              </w:rPr>
              <w:t>1.8.</w:t>
            </w:r>
          </w:p>
        </w:tc>
        <w:tc>
          <w:tcPr>
            <w:tcW w:w="2258" w:type="pct"/>
          </w:tcPr>
          <w:p w14:paraId="3C8F911F" w14:textId="239C4E00" w:rsidR="00F86665" w:rsidRPr="001B2971" w:rsidRDefault="00F86665" w:rsidP="00F86665">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 xml:space="preserve">Prekė turi turėti techninių duomenų lenteles, sudarytas pagal šios Techninės specifikacijos </w:t>
            </w:r>
            <w:r w:rsidR="008E784E">
              <w:rPr>
                <w:rFonts w:ascii="Arial" w:hAnsi="Arial" w:cs="Arial"/>
                <w:sz w:val="20"/>
                <w:szCs w:val="20"/>
                <w:lang w:eastAsia="zh-CN"/>
              </w:rPr>
              <w:t>1</w:t>
            </w:r>
            <w:r w:rsidRPr="001B2971">
              <w:rPr>
                <w:rFonts w:ascii="Arial" w:hAnsi="Arial" w:cs="Arial"/>
                <w:sz w:val="20"/>
                <w:szCs w:val="20"/>
                <w:lang w:eastAsia="zh-CN"/>
              </w:rPr>
              <w:t xml:space="preserve"> priedą.</w:t>
            </w:r>
          </w:p>
        </w:tc>
        <w:tc>
          <w:tcPr>
            <w:tcW w:w="2496" w:type="pct"/>
          </w:tcPr>
          <w:p w14:paraId="6ABF3790" w14:textId="13FAFA5D" w:rsidR="00F86665" w:rsidRPr="007B5675" w:rsidRDefault="00F86665" w:rsidP="00F86665">
            <w:pPr>
              <w:pStyle w:val="ListParagraph"/>
              <w:tabs>
                <w:tab w:val="left" w:pos="567"/>
              </w:tabs>
              <w:ind w:left="0"/>
              <w:jc w:val="both"/>
              <w:rPr>
                <w:rFonts w:ascii="Arial" w:hAnsi="Arial" w:cs="Arial"/>
                <w:sz w:val="20"/>
                <w:szCs w:val="20"/>
                <w:lang w:val="en-US"/>
              </w:rPr>
            </w:pPr>
            <w:r w:rsidRPr="007B5675">
              <w:rPr>
                <w:rFonts w:ascii="Arial" w:hAnsi="Arial" w:cs="Arial"/>
                <w:sz w:val="20"/>
                <w:szCs w:val="20"/>
                <w:lang w:val="en-US"/>
              </w:rPr>
              <w:t xml:space="preserve">Goods shall have technical data sheets drawn up in accordance with Annex </w:t>
            </w:r>
            <w:r w:rsidR="008E784E">
              <w:rPr>
                <w:rFonts w:ascii="Arial" w:hAnsi="Arial" w:cs="Arial"/>
                <w:sz w:val="20"/>
                <w:szCs w:val="20"/>
                <w:lang w:val="en-US"/>
              </w:rPr>
              <w:t>1</w:t>
            </w:r>
            <w:r w:rsidRPr="007B5675">
              <w:rPr>
                <w:rFonts w:ascii="Arial" w:hAnsi="Arial" w:cs="Arial"/>
                <w:sz w:val="20"/>
                <w:szCs w:val="20"/>
                <w:lang w:val="en-US"/>
              </w:rPr>
              <w:t xml:space="preserve"> of the Technical Specification.</w:t>
            </w:r>
          </w:p>
        </w:tc>
      </w:tr>
      <w:tr w:rsidR="00F86665" w:rsidRPr="001B2971" w14:paraId="05E7F6B2" w14:textId="77777777" w:rsidTr="002F3A23">
        <w:trPr>
          <w:trHeight w:val="104"/>
        </w:trPr>
        <w:tc>
          <w:tcPr>
            <w:tcW w:w="246" w:type="pct"/>
            <w:vAlign w:val="center"/>
          </w:tcPr>
          <w:p w14:paraId="1DADD290" w14:textId="46D0441D" w:rsidR="00F86665" w:rsidRPr="001B2971" w:rsidRDefault="00F86665" w:rsidP="00F86665">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F86665" w:rsidRPr="001B2971" w:rsidRDefault="00F86665" w:rsidP="00F86665">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F86665" w:rsidRPr="007B5675" w:rsidRDefault="00F86665" w:rsidP="00F86665">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F86665" w:rsidRPr="001B2971" w14:paraId="4B146C93" w14:textId="77777777" w:rsidTr="00BD0571">
        <w:tc>
          <w:tcPr>
            <w:tcW w:w="2504" w:type="pct"/>
            <w:gridSpan w:val="2"/>
            <w:vAlign w:val="center"/>
          </w:tcPr>
          <w:p w14:paraId="79D0A4AD" w14:textId="65D5D6AD" w:rsidR="00F86665" w:rsidRPr="001B2971" w:rsidRDefault="00F86665" w:rsidP="00F86665">
            <w:pPr>
              <w:jc w:val="both"/>
              <w:rPr>
                <w:rFonts w:ascii="Arial" w:hAnsi="Arial" w:cs="Arial"/>
                <w:sz w:val="20"/>
                <w:szCs w:val="20"/>
              </w:rPr>
            </w:pPr>
            <w:r w:rsidRPr="001B2971">
              <w:rPr>
                <w:rFonts w:ascii="Arial" w:hAnsi="Arial" w:cs="Arial"/>
                <w:sz w:val="20"/>
                <w:szCs w:val="20"/>
              </w:rPr>
              <w:t>1 priedas – Standartiniai techniniai reikalavimai pirminių įrenginių techninių duomenų lentelėms.</w:t>
            </w:r>
          </w:p>
        </w:tc>
        <w:tc>
          <w:tcPr>
            <w:tcW w:w="2496" w:type="pct"/>
            <w:vAlign w:val="bottom"/>
          </w:tcPr>
          <w:p w14:paraId="544A8D1D" w14:textId="193D1D24" w:rsidR="00F86665" w:rsidRPr="007B5675" w:rsidRDefault="00F86665" w:rsidP="00F86665">
            <w:pPr>
              <w:jc w:val="both"/>
              <w:rPr>
                <w:rFonts w:ascii="Arial" w:hAnsi="Arial" w:cs="Arial"/>
                <w:sz w:val="20"/>
                <w:szCs w:val="20"/>
                <w:lang w:val="en-US"/>
              </w:rPr>
            </w:pPr>
            <w:r w:rsidRPr="007B5675">
              <w:rPr>
                <w:rFonts w:ascii="Arial" w:hAnsi="Arial" w:cs="Arial"/>
                <w:sz w:val="20"/>
                <w:szCs w:val="20"/>
                <w:lang w:val="en-US"/>
              </w:rPr>
              <w:t>Annex 1 – Standard Technical Requirements for Nameplates of Primary Equipment.</w:t>
            </w:r>
          </w:p>
        </w:tc>
      </w:tr>
      <w:tr w:rsidR="00F86665" w:rsidRPr="001B2971" w14:paraId="7F00D4F0" w14:textId="77777777" w:rsidTr="00BD0571">
        <w:tc>
          <w:tcPr>
            <w:tcW w:w="2504" w:type="pct"/>
            <w:gridSpan w:val="2"/>
            <w:vAlign w:val="center"/>
          </w:tcPr>
          <w:p w14:paraId="3FC20B75" w14:textId="2B2356BE" w:rsidR="00F86665" w:rsidRPr="001B2971" w:rsidRDefault="00F86665" w:rsidP="00F86665">
            <w:pPr>
              <w:jc w:val="both"/>
              <w:rPr>
                <w:rFonts w:ascii="Arial" w:hAnsi="Arial" w:cs="Arial"/>
                <w:sz w:val="20"/>
                <w:szCs w:val="20"/>
              </w:rPr>
            </w:pPr>
            <w:r w:rsidRPr="001B2971">
              <w:rPr>
                <w:rFonts w:ascii="Arial" w:hAnsi="Arial" w:cs="Arial"/>
                <w:sz w:val="20"/>
                <w:szCs w:val="20"/>
              </w:rPr>
              <w:t xml:space="preserve">2 priedas – Techniniai reikalavimai </w:t>
            </w:r>
            <w:r>
              <w:rPr>
                <w:rFonts w:ascii="Arial" w:hAnsi="Arial" w:cs="Arial"/>
                <w:sz w:val="20"/>
                <w:szCs w:val="20"/>
              </w:rPr>
              <w:t>skyrikli</w:t>
            </w:r>
            <w:r w:rsidR="00E94A0D">
              <w:rPr>
                <w:rFonts w:ascii="Arial" w:hAnsi="Arial" w:cs="Arial"/>
                <w:sz w:val="20"/>
                <w:szCs w:val="20"/>
              </w:rPr>
              <w:t>ui</w:t>
            </w:r>
            <w:r w:rsidRPr="001B2971">
              <w:rPr>
                <w:rFonts w:ascii="Arial" w:hAnsi="Arial" w:cs="Arial"/>
                <w:sz w:val="20"/>
                <w:szCs w:val="20"/>
              </w:rPr>
              <w:t>.</w:t>
            </w:r>
          </w:p>
        </w:tc>
        <w:tc>
          <w:tcPr>
            <w:tcW w:w="2496" w:type="pct"/>
            <w:vAlign w:val="bottom"/>
          </w:tcPr>
          <w:p w14:paraId="123E66F7" w14:textId="0E6F4F5A" w:rsidR="00F86665" w:rsidRPr="001B2971" w:rsidRDefault="00F86665" w:rsidP="00F86665">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2 – Technical </w:t>
            </w:r>
            <w:r w:rsidR="00412BEE">
              <w:rPr>
                <w:rFonts w:ascii="Arial" w:hAnsi="Arial" w:cs="Arial"/>
                <w:sz w:val="20"/>
                <w:szCs w:val="20"/>
                <w:lang w:val="en-GB"/>
              </w:rPr>
              <w:t>R</w:t>
            </w:r>
            <w:r w:rsidRPr="001B2971">
              <w:rPr>
                <w:rFonts w:ascii="Arial" w:hAnsi="Arial" w:cs="Arial"/>
                <w:sz w:val="20"/>
                <w:szCs w:val="20"/>
                <w:lang w:val="en-GB"/>
              </w:rPr>
              <w:t xml:space="preserve">equirements </w:t>
            </w:r>
            <w:r w:rsidR="00412BEE">
              <w:rPr>
                <w:rFonts w:ascii="Arial" w:hAnsi="Arial" w:cs="Arial"/>
                <w:sz w:val="20"/>
                <w:szCs w:val="20"/>
                <w:lang w:val="en-GB"/>
              </w:rPr>
              <w:t>for D</w:t>
            </w:r>
            <w:r>
              <w:rPr>
                <w:rFonts w:ascii="Arial" w:hAnsi="Arial" w:cs="Arial"/>
                <w:sz w:val="20"/>
                <w:szCs w:val="20"/>
                <w:lang w:val="en-GB"/>
              </w:rPr>
              <w:t>isconnector</w:t>
            </w:r>
            <w:r w:rsidRPr="001B2971">
              <w:rPr>
                <w:rFonts w:ascii="Arial" w:hAnsi="Arial" w:cs="Arial"/>
                <w:sz w:val="20"/>
                <w:szCs w:val="20"/>
                <w:lang w:val="en-GB"/>
              </w:rPr>
              <w:t>.</w:t>
            </w:r>
          </w:p>
        </w:tc>
      </w:tr>
    </w:tbl>
    <w:p w14:paraId="625161F4" w14:textId="23AD393F" w:rsidR="007D76C7" w:rsidRPr="001B2971" w:rsidRDefault="007D76C7" w:rsidP="00C518E3">
      <w:pPr>
        <w:rPr>
          <w:rFonts w:ascii="Arial" w:hAnsi="Arial" w:cs="Arial"/>
          <w:sz w:val="20"/>
          <w:szCs w:val="20"/>
        </w:rPr>
      </w:pPr>
    </w:p>
    <w:sectPr w:rsidR="007D76C7" w:rsidRPr="001B2971" w:rsidSect="000F281C">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FB02C" w14:textId="77777777" w:rsidR="000F281C" w:rsidRDefault="000F281C" w:rsidP="00792C08">
      <w:pPr>
        <w:spacing w:after="0" w:line="240" w:lineRule="auto"/>
      </w:pPr>
      <w:r>
        <w:separator/>
      </w:r>
    </w:p>
  </w:endnote>
  <w:endnote w:type="continuationSeparator" w:id="0">
    <w:p w14:paraId="6D605112" w14:textId="77777777" w:rsidR="000F281C" w:rsidRDefault="000F281C" w:rsidP="00792C08">
      <w:pPr>
        <w:spacing w:after="0" w:line="240" w:lineRule="auto"/>
      </w:pPr>
      <w:r>
        <w:continuationSeparator/>
      </w:r>
    </w:p>
  </w:endnote>
  <w:endnote w:type="continuationNotice" w:id="1">
    <w:p w14:paraId="304DE6D8" w14:textId="77777777" w:rsidR="000F281C" w:rsidRDefault="000F2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8EBD" w14:textId="0E1684D6" w:rsidR="009F5290" w:rsidRPr="009F5290" w:rsidRDefault="009F5290">
    <w:pPr>
      <w:pStyle w:val="Footer"/>
      <w:jc w:val="center"/>
      <w:rPr>
        <w:rFonts w:ascii="Arial" w:hAnsi="Arial" w:cs="Arial"/>
      </w:rPr>
    </w:pPr>
  </w:p>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B86E5" w14:textId="77777777" w:rsidR="000F281C" w:rsidRDefault="000F281C" w:rsidP="00792C08">
      <w:pPr>
        <w:spacing w:after="0" w:line="240" w:lineRule="auto"/>
      </w:pPr>
      <w:r>
        <w:separator/>
      </w:r>
    </w:p>
  </w:footnote>
  <w:footnote w:type="continuationSeparator" w:id="0">
    <w:p w14:paraId="6F3502F6" w14:textId="77777777" w:rsidR="000F281C" w:rsidRDefault="000F281C" w:rsidP="00792C08">
      <w:pPr>
        <w:spacing w:after="0" w:line="240" w:lineRule="auto"/>
      </w:pPr>
      <w:r>
        <w:continuationSeparator/>
      </w:r>
    </w:p>
  </w:footnote>
  <w:footnote w:type="continuationNotice" w:id="1">
    <w:p w14:paraId="52A55F1D" w14:textId="77777777" w:rsidR="000F281C" w:rsidRDefault="000F2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63AB" w14:textId="0230E18C"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w:t>
    </w:r>
    <w:r w:rsidR="00AB52CF">
      <w:rPr>
        <w:rFonts w:ascii="Arial" w:hAnsi="Arial" w:cs="Arial"/>
        <w:bCs/>
        <w:sz w:val="20"/>
        <w:szCs w:val="20"/>
        <w:u w:val="none"/>
        <w:lang w:val="lt-LT"/>
      </w:rPr>
      <w:t>utarties</w:t>
    </w:r>
    <w:r>
      <w:rPr>
        <w:rFonts w:ascii="Arial" w:hAnsi="Arial" w:cs="Arial"/>
        <w:bCs/>
        <w:sz w:val="20"/>
        <w:szCs w:val="20"/>
        <w:u w:val="none"/>
        <w:lang w:val="lt-LT"/>
      </w:rPr>
      <w:t xml:space="preserve"> </w:t>
    </w:r>
    <w:r w:rsidR="00F2237A">
      <w:rPr>
        <w:rFonts w:ascii="Arial" w:hAnsi="Arial" w:cs="Arial"/>
        <w:bCs/>
        <w:sz w:val="20"/>
        <w:szCs w:val="20"/>
        <w:u w:val="none"/>
        <w:lang w:val="lt-LT"/>
      </w:rPr>
      <w:t>7.</w:t>
    </w:r>
    <w:r w:rsidR="00AB52CF">
      <w:rPr>
        <w:rFonts w:ascii="Arial" w:hAnsi="Arial" w:cs="Arial"/>
        <w:bCs/>
        <w:sz w:val="20"/>
        <w:szCs w:val="20"/>
        <w:u w:val="none"/>
        <w:lang w:val="lt-LT"/>
      </w:rPr>
      <w:t>1</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F2237A">
      <w:rPr>
        <w:rFonts w:ascii="Arial" w:hAnsi="Arial" w:cs="Arial"/>
        <w:bCs/>
        <w:sz w:val="20"/>
        <w:szCs w:val="20"/>
        <w:u w:val="none"/>
      </w:rPr>
      <w:t>7.</w:t>
    </w:r>
    <w:r w:rsidR="00024176">
      <w:rPr>
        <w:rFonts w:ascii="Arial" w:hAnsi="Arial" w:cs="Arial"/>
        <w:bCs/>
        <w:sz w:val="20"/>
        <w:szCs w:val="20"/>
        <w:u w:val="none"/>
      </w:rPr>
      <w:t>1</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w:t>
    </w:r>
    <w:proofErr w:type="spellStart"/>
    <w:r w:rsidRPr="003A42A3">
      <w:rPr>
        <w:rFonts w:ascii="Arial" w:hAnsi="Arial" w:cs="Arial"/>
        <w:bCs/>
        <w:sz w:val="20"/>
        <w:szCs w:val="20"/>
        <w:u w:val="none"/>
        <w:lang w:val="lt-LT"/>
      </w:rPr>
      <w:t>C</w:t>
    </w:r>
    <w:r w:rsidR="00AB52CF">
      <w:rPr>
        <w:rFonts w:ascii="Arial" w:hAnsi="Arial" w:cs="Arial"/>
        <w:bCs/>
        <w:sz w:val="20"/>
        <w:szCs w:val="20"/>
        <w:u w:val="none"/>
        <w:lang w:val="lt-LT"/>
      </w:rPr>
      <w:t>ontract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15DB4"/>
    <w:rsid w:val="00024176"/>
    <w:rsid w:val="0002442E"/>
    <w:rsid w:val="00024C72"/>
    <w:rsid w:val="000263EB"/>
    <w:rsid w:val="00026926"/>
    <w:rsid w:val="0003717E"/>
    <w:rsid w:val="0005784A"/>
    <w:rsid w:val="00091DCE"/>
    <w:rsid w:val="0009784D"/>
    <w:rsid w:val="00097F79"/>
    <w:rsid w:val="000A7734"/>
    <w:rsid w:val="000C769C"/>
    <w:rsid w:val="000D68A7"/>
    <w:rsid w:val="000E3EA9"/>
    <w:rsid w:val="000E46E7"/>
    <w:rsid w:val="000F1911"/>
    <w:rsid w:val="000F281C"/>
    <w:rsid w:val="00110D63"/>
    <w:rsid w:val="0011656F"/>
    <w:rsid w:val="001243F2"/>
    <w:rsid w:val="0014490C"/>
    <w:rsid w:val="001677AF"/>
    <w:rsid w:val="00180B03"/>
    <w:rsid w:val="00183FC5"/>
    <w:rsid w:val="001A1EA1"/>
    <w:rsid w:val="001A3BE8"/>
    <w:rsid w:val="001B2971"/>
    <w:rsid w:val="001B2CDA"/>
    <w:rsid w:val="001F21EE"/>
    <w:rsid w:val="0021026F"/>
    <w:rsid w:val="0023303F"/>
    <w:rsid w:val="0024251C"/>
    <w:rsid w:val="0026047E"/>
    <w:rsid w:val="002B2CF1"/>
    <w:rsid w:val="002B7F20"/>
    <w:rsid w:val="002C45E2"/>
    <w:rsid w:val="002F2D1A"/>
    <w:rsid w:val="002F3A23"/>
    <w:rsid w:val="0030144C"/>
    <w:rsid w:val="00333D92"/>
    <w:rsid w:val="00337996"/>
    <w:rsid w:val="00391CC1"/>
    <w:rsid w:val="00392250"/>
    <w:rsid w:val="003A33B8"/>
    <w:rsid w:val="003A42A3"/>
    <w:rsid w:val="003B5042"/>
    <w:rsid w:val="003C085F"/>
    <w:rsid w:val="003E125B"/>
    <w:rsid w:val="003F3E0B"/>
    <w:rsid w:val="003F4C10"/>
    <w:rsid w:val="0040218D"/>
    <w:rsid w:val="00407FF5"/>
    <w:rsid w:val="00412BEE"/>
    <w:rsid w:val="00430435"/>
    <w:rsid w:val="00445EF8"/>
    <w:rsid w:val="00473788"/>
    <w:rsid w:val="004A1E4A"/>
    <w:rsid w:val="004B2CD8"/>
    <w:rsid w:val="004C06F2"/>
    <w:rsid w:val="004C6540"/>
    <w:rsid w:val="004D4F93"/>
    <w:rsid w:val="004E5061"/>
    <w:rsid w:val="005038FE"/>
    <w:rsid w:val="00511965"/>
    <w:rsid w:val="00537562"/>
    <w:rsid w:val="005424C1"/>
    <w:rsid w:val="005444E3"/>
    <w:rsid w:val="00544F33"/>
    <w:rsid w:val="005518B1"/>
    <w:rsid w:val="00553EC5"/>
    <w:rsid w:val="0056226C"/>
    <w:rsid w:val="00562ED2"/>
    <w:rsid w:val="0056333D"/>
    <w:rsid w:val="00567B7D"/>
    <w:rsid w:val="005A3DCA"/>
    <w:rsid w:val="005B5873"/>
    <w:rsid w:val="005C0695"/>
    <w:rsid w:val="005D7598"/>
    <w:rsid w:val="0060306B"/>
    <w:rsid w:val="0061583D"/>
    <w:rsid w:val="0065350D"/>
    <w:rsid w:val="00673C3B"/>
    <w:rsid w:val="006749C0"/>
    <w:rsid w:val="00682CE5"/>
    <w:rsid w:val="006A6685"/>
    <w:rsid w:val="006B0895"/>
    <w:rsid w:val="006D589C"/>
    <w:rsid w:val="007050FB"/>
    <w:rsid w:val="00705166"/>
    <w:rsid w:val="00727FB8"/>
    <w:rsid w:val="00734539"/>
    <w:rsid w:val="00741FED"/>
    <w:rsid w:val="00771412"/>
    <w:rsid w:val="00776BC5"/>
    <w:rsid w:val="00786AEB"/>
    <w:rsid w:val="00792C08"/>
    <w:rsid w:val="00796758"/>
    <w:rsid w:val="007B404A"/>
    <w:rsid w:val="007B5675"/>
    <w:rsid w:val="007B6BFE"/>
    <w:rsid w:val="007C3891"/>
    <w:rsid w:val="007D4853"/>
    <w:rsid w:val="007D76C7"/>
    <w:rsid w:val="007E20AA"/>
    <w:rsid w:val="007E2282"/>
    <w:rsid w:val="008045E0"/>
    <w:rsid w:val="00805812"/>
    <w:rsid w:val="00814EF1"/>
    <w:rsid w:val="00820D1E"/>
    <w:rsid w:val="00824525"/>
    <w:rsid w:val="00833556"/>
    <w:rsid w:val="008528D0"/>
    <w:rsid w:val="0086486F"/>
    <w:rsid w:val="008900DB"/>
    <w:rsid w:val="008A33EE"/>
    <w:rsid w:val="008A5363"/>
    <w:rsid w:val="008B4D6D"/>
    <w:rsid w:val="008C1120"/>
    <w:rsid w:val="008C693C"/>
    <w:rsid w:val="008C6AFA"/>
    <w:rsid w:val="008D1271"/>
    <w:rsid w:val="008D29B6"/>
    <w:rsid w:val="008E41F0"/>
    <w:rsid w:val="008E784E"/>
    <w:rsid w:val="00922378"/>
    <w:rsid w:val="009458A8"/>
    <w:rsid w:val="009518FE"/>
    <w:rsid w:val="0095357A"/>
    <w:rsid w:val="00956CBB"/>
    <w:rsid w:val="009619BF"/>
    <w:rsid w:val="00971189"/>
    <w:rsid w:val="00990F81"/>
    <w:rsid w:val="009B25ED"/>
    <w:rsid w:val="009B31C0"/>
    <w:rsid w:val="009D415D"/>
    <w:rsid w:val="009D6098"/>
    <w:rsid w:val="009E0829"/>
    <w:rsid w:val="009F5290"/>
    <w:rsid w:val="009F6B18"/>
    <w:rsid w:val="00A07611"/>
    <w:rsid w:val="00A1642F"/>
    <w:rsid w:val="00A27A2A"/>
    <w:rsid w:val="00A3735D"/>
    <w:rsid w:val="00A570D2"/>
    <w:rsid w:val="00A62FE8"/>
    <w:rsid w:val="00A6358F"/>
    <w:rsid w:val="00A740DE"/>
    <w:rsid w:val="00A952DE"/>
    <w:rsid w:val="00AA374F"/>
    <w:rsid w:val="00AB52CF"/>
    <w:rsid w:val="00AD4B11"/>
    <w:rsid w:val="00B02AA8"/>
    <w:rsid w:val="00B031F3"/>
    <w:rsid w:val="00B103C8"/>
    <w:rsid w:val="00B216B4"/>
    <w:rsid w:val="00B40CD5"/>
    <w:rsid w:val="00B43ADB"/>
    <w:rsid w:val="00B43E95"/>
    <w:rsid w:val="00B460E7"/>
    <w:rsid w:val="00B546A5"/>
    <w:rsid w:val="00B62CAD"/>
    <w:rsid w:val="00B76930"/>
    <w:rsid w:val="00B8124C"/>
    <w:rsid w:val="00B812C8"/>
    <w:rsid w:val="00BC7D7F"/>
    <w:rsid w:val="00BD0571"/>
    <w:rsid w:val="00BD2DA2"/>
    <w:rsid w:val="00BE702D"/>
    <w:rsid w:val="00C1077D"/>
    <w:rsid w:val="00C32030"/>
    <w:rsid w:val="00C51263"/>
    <w:rsid w:val="00C518E3"/>
    <w:rsid w:val="00C54F2A"/>
    <w:rsid w:val="00C57E81"/>
    <w:rsid w:val="00CA6E83"/>
    <w:rsid w:val="00CB39F5"/>
    <w:rsid w:val="00CB3A48"/>
    <w:rsid w:val="00CE584E"/>
    <w:rsid w:val="00CE668E"/>
    <w:rsid w:val="00CF1541"/>
    <w:rsid w:val="00CF2C8C"/>
    <w:rsid w:val="00CF4B97"/>
    <w:rsid w:val="00D07A94"/>
    <w:rsid w:val="00D1022A"/>
    <w:rsid w:val="00D132F6"/>
    <w:rsid w:val="00D20922"/>
    <w:rsid w:val="00D21D77"/>
    <w:rsid w:val="00D21F89"/>
    <w:rsid w:val="00D54736"/>
    <w:rsid w:val="00D57032"/>
    <w:rsid w:val="00D572B3"/>
    <w:rsid w:val="00D76405"/>
    <w:rsid w:val="00D81606"/>
    <w:rsid w:val="00DA4347"/>
    <w:rsid w:val="00DB02F6"/>
    <w:rsid w:val="00DB6DF6"/>
    <w:rsid w:val="00DC4CDE"/>
    <w:rsid w:val="00DC676E"/>
    <w:rsid w:val="00DD1AE4"/>
    <w:rsid w:val="00DE2AD1"/>
    <w:rsid w:val="00E47AA7"/>
    <w:rsid w:val="00E55870"/>
    <w:rsid w:val="00E64561"/>
    <w:rsid w:val="00E718C5"/>
    <w:rsid w:val="00E74032"/>
    <w:rsid w:val="00E74499"/>
    <w:rsid w:val="00E749C3"/>
    <w:rsid w:val="00E90A29"/>
    <w:rsid w:val="00E94A0D"/>
    <w:rsid w:val="00E97EC4"/>
    <w:rsid w:val="00EA43E7"/>
    <w:rsid w:val="00EC59D8"/>
    <w:rsid w:val="00EC6503"/>
    <w:rsid w:val="00EF0E23"/>
    <w:rsid w:val="00EF3B9B"/>
    <w:rsid w:val="00EF4621"/>
    <w:rsid w:val="00EF78E1"/>
    <w:rsid w:val="00F05FE8"/>
    <w:rsid w:val="00F06580"/>
    <w:rsid w:val="00F10934"/>
    <w:rsid w:val="00F15A06"/>
    <w:rsid w:val="00F16523"/>
    <w:rsid w:val="00F166FD"/>
    <w:rsid w:val="00F2237A"/>
    <w:rsid w:val="00F245BC"/>
    <w:rsid w:val="00F32A67"/>
    <w:rsid w:val="00F47A64"/>
    <w:rsid w:val="00F50DAA"/>
    <w:rsid w:val="00F63E7E"/>
    <w:rsid w:val="00F65B51"/>
    <w:rsid w:val="00F86665"/>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4</cp:revision>
  <dcterms:created xsi:type="dcterms:W3CDTF">2024-05-07T10:43:00Z</dcterms:created>
  <dcterms:modified xsi:type="dcterms:W3CDTF">2024-05-07T10:46:00Z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