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 xml:space="preserve">UAB „Ignitis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FF22" w14:textId="77777777" w:rsidR="00C71153" w:rsidRDefault="00C71153">
      <w:r>
        <w:separator/>
      </w:r>
    </w:p>
  </w:endnote>
  <w:endnote w:type="continuationSeparator" w:id="0">
    <w:p w14:paraId="0C4B6EB0" w14:textId="77777777" w:rsidR="00C71153" w:rsidRDefault="00C71153">
      <w:r>
        <w:continuationSeparator/>
      </w:r>
    </w:p>
  </w:endnote>
  <w:endnote w:type="continuationNotice" w:id="1">
    <w:p w14:paraId="2EF1B4C9" w14:textId="77777777" w:rsidR="00C71153" w:rsidRDefault="00C7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E498B">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2324" w14:textId="77777777" w:rsidR="00C71153" w:rsidRDefault="00C71153">
      <w:r>
        <w:separator/>
      </w:r>
    </w:p>
  </w:footnote>
  <w:footnote w:type="continuationSeparator" w:id="0">
    <w:p w14:paraId="3A5DC6AE" w14:textId="77777777" w:rsidR="00C71153" w:rsidRDefault="00C71153">
      <w:r>
        <w:continuationSeparator/>
      </w:r>
    </w:p>
  </w:footnote>
  <w:footnote w:type="continuationNotice" w:id="1">
    <w:p w14:paraId="094EC677" w14:textId="77777777" w:rsidR="00C71153" w:rsidRDefault="00C71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498B"/>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0E4"/>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C75E3-2DC6-43C6-8709-838908219D83}">
  <ds:schemaRefs>
    <ds:schemaRef ds:uri="http://schemas.openxmlformats.org/officeDocument/2006/bibliography"/>
  </ds:schemaRefs>
</ds:datastoreItem>
</file>

<file path=customXml/itemProps2.xml><?xml version="1.0" encoding="utf-8"?>
<ds:datastoreItem xmlns:ds="http://schemas.openxmlformats.org/officeDocument/2006/customXml" ds:itemID="{C7270034-5D94-475C-8F46-228D0B89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10945</Words>
  <Characters>76133</Characters>
  <Application>Microsoft Office Word</Application>
  <DocSecurity>0</DocSecurity>
  <Lines>634</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Asta Veličkienė</cp:lastModifiedBy>
  <cp:revision>24</cp:revision>
  <cp:lastPrinted>2020-01-21T06:08:00Z</cp:lastPrinted>
  <dcterms:created xsi:type="dcterms:W3CDTF">2019-08-27T10:15:00Z</dcterms:created>
  <dcterms:modified xsi:type="dcterms:W3CDTF">2020-01-21T06:08:00Z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