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38"/>
        <w:tblW w:w="9639" w:type="dxa"/>
        <w:tblLayout w:type="fixed"/>
        <w:tblLook w:val="0000" w:firstRow="0" w:lastRow="0" w:firstColumn="0" w:lastColumn="0" w:noHBand="0" w:noVBand="0"/>
      </w:tblPr>
      <w:tblGrid>
        <w:gridCol w:w="9639"/>
      </w:tblGrid>
      <w:tr w:rsidR="006A55C5" w14:paraId="521640A4" w14:textId="77777777" w:rsidTr="00B126D2">
        <w:trPr>
          <w:trHeight w:val="51"/>
        </w:trPr>
        <w:tc>
          <w:tcPr>
            <w:tcW w:w="9639" w:type="dxa"/>
          </w:tcPr>
          <w:p w14:paraId="36E13104" w14:textId="77777777" w:rsidR="006A55C5" w:rsidRDefault="006A55C5" w:rsidP="00B126D2">
            <w:pPr>
              <w:pageBreakBefore/>
              <w:spacing w:line="259" w:lineRule="auto"/>
              <w:rPr>
                <w:lang w:val="lt-LT"/>
              </w:rPr>
            </w:pPr>
          </w:p>
          <w:p w14:paraId="7822247E" w14:textId="4110C837" w:rsidR="006A55C5" w:rsidRDefault="006A55C5" w:rsidP="00B126D2">
            <w:pPr>
              <w:ind w:left="900"/>
              <w:jc w:val="right"/>
              <w:textAlignment w:val="baseline"/>
              <w:rPr>
                <w:lang w:val="lt-LT" w:eastAsia="lt-LT"/>
              </w:rPr>
            </w:pPr>
            <w:r>
              <w:rPr>
                <w:b/>
                <w:bCs/>
                <w:lang w:val="lt-LT" w:eastAsia="lt-LT"/>
              </w:rPr>
              <w:t>2 priedas</w:t>
            </w:r>
            <w:r>
              <w:rPr>
                <w:lang w:val="lt-LT" w:eastAsia="lt-LT"/>
              </w:rPr>
              <w:t> </w:t>
            </w:r>
          </w:p>
          <w:p w14:paraId="50DEDEE6" w14:textId="77777777" w:rsidR="006A55C5" w:rsidRDefault="006A55C5" w:rsidP="00B126D2">
            <w:pPr>
              <w:textAlignment w:val="baseline"/>
              <w:rPr>
                <w:lang w:val="lt-LT" w:eastAsia="lt-LT"/>
              </w:rPr>
            </w:pPr>
            <w:r>
              <w:rPr>
                <w:lang w:val="lt-LT" w:eastAsia="lt-LT"/>
              </w:rPr>
              <w:t> </w:t>
            </w:r>
          </w:p>
          <w:p w14:paraId="1119F167" w14:textId="77777777" w:rsidR="006A55C5" w:rsidRDefault="006A55C5" w:rsidP="00B126D2">
            <w:pPr>
              <w:jc w:val="center"/>
              <w:textAlignment w:val="baseline"/>
              <w:rPr>
                <w:lang w:val="lt-LT" w:eastAsia="lt-LT"/>
              </w:rPr>
            </w:pPr>
            <w:r>
              <w:rPr>
                <w:b/>
                <w:bCs/>
                <w:lang w:val="lt-LT" w:eastAsia="lt-LT"/>
              </w:rPr>
              <w:t>Pagrindinių normatyvinių dokumentų sąrašas</w:t>
            </w:r>
            <w:r>
              <w:rPr>
                <w:lang w:val="lt-LT" w:eastAsia="lt-LT"/>
              </w:rPr>
              <w:t> </w:t>
            </w:r>
          </w:p>
          <w:p w14:paraId="2B4EB9B6" w14:textId="77777777" w:rsidR="006A55C5" w:rsidRDefault="006A55C5" w:rsidP="00B126D2">
            <w:pPr>
              <w:textAlignment w:val="baseline"/>
              <w:rPr>
                <w:lang w:val="lt-LT" w:eastAsia="lt-LT"/>
              </w:rPr>
            </w:pPr>
            <w:r>
              <w:rPr>
                <w:lang w:val="lt-LT" w:eastAsia="lt-LT"/>
              </w:rPr>
              <w:t> </w:t>
            </w:r>
          </w:p>
          <w:p w14:paraId="063744ED" w14:textId="77777777" w:rsidR="006A55C5" w:rsidRDefault="006A55C5" w:rsidP="00B126D2">
            <w:pPr>
              <w:ind w:firstLine="555"/>
              <w:jc w:val="both"/>
              <w:textAlignment w:val="baseline"/>
              <w:rPr>
                <w:lang w:val="lt-LT" w:eastAsia="lt-LT"/>
              </w:rPr>
            </w:pPr>
            <w:r>
              <w:rPr>
                <w:lang w:val="lt-LT" w:eastAsia="lt-LT"/>
              </w:rPr>
              <w:t>Projektui taikoma Lietuvos Respublikos teisė. Projektas rengiamas vadovaujantis Lietuvos policijos generalinio komisaro įsakymais, Lietuvos Respublikos statybos įstatymu, kitais tokių statinių ir patalpų projektavimą, statybą, policijos darbą ir eksploatavimą reglamentuojančiais norminiais teisės aktais: </w:t>
            </w:r>
          </w:p>
          <w:tbl>
            <w:tblPr>
              <w:tblW w:w="9407" w:type="dxa"/>
              <w:tblLayout w:type="fixed"/>
              <w:tblCellMar>
                <w:left w:w="7" w:type="dxa"/>
                <w:right w:w="7" w:type="dxa"/>
              </w:tblCellMar>
              <w:tblLook w:val="04A0" w:firstRow="1" w:lastRow="0" w:firstColumn="1" w:lastColumn="0" w:noHBand="0" w:noVBand="1"/>
            </w:tblPr>
            <w:tblGrid>
              <w:gridCol w:w="9407"/>
            </w:tblGrid>
            <w:tr w:rsidR="006A55C5" w14:paraId="0DED9DA3" w14:textId="77777777" w:rsidTr="00B126D2">
              <w:trPr>
                <w:trHeight w:val="300"/>
              </w:trPr>
              <w:tc>
                <w:tcPr>
                  <w:tcW w:w="9407" w:type="dxa"/>
                  <w:tcBorders>
                    <w:top w:val="single" w:sz="6" w:space="0" w:color="000000"/>
                    <w:left w:val="single" w:sz="6" w:space="0" w:color="000000"/>
                    <w:bottom w:val="single" w:sz="6" w:space="0" w:color="000000"/>
                    <w:right w:val="single" w:sz="6" w:space="0" w:color="000000"/>
                  </w:tcBorders>
                  <w:shd w:val="clear" w:color="auto" w:fill="auto"/>
                </w:tcPr>
                <w:p w14:paraId="115BE85B" w14:textId="77777777" w:rsidR="006A55C5" w:rsidRDefault="006A55C5" w:rsidP="006D21CB">
                  <w:pPr>
                    <w:framePr w:hSpace="180" w:wrap="around" w:vAnchor="text" w:hAnchor="margin" w:y="38"/>
                    <w:jc w:val="center"/>
                    <w:textAlignment w:val="baseline"/>
                    <w:rPr>
                      <w:lang w:val="lt-LT" w:eastAsia="lt-LT"/>
                    </w:rPr>
                  </w:pPr>
                  <w:r>
                    <w:rPr>
                      <w:lang w:val="lt-LT" w:eastAsia="lt-LT"/>
                    </w:rPr>
                    <w:t>Lietuvos Respublikos statybos įstatymas aktuali redakcija.</w:t>
                  </w:r>
                </w:p>
              </w:tc>
            </w:tr>
            <w:tr w:rsidR="006A55C5" w14:paraId="2F0399EB" w14:textId="77777777" w:rsidTr="00B126D2">
              <w:trPr>
                <w:trHeight w:val="300"/>
              </w:trPr>
              <w:tc>
                <w:tcPr>
                  <w:tcW w:w="9407" w:type="dxa"/>
                  <w:tcBorders>
                    <w:top w:val="single" w:sz="6" w:space="0" w:color="000000"/>
                    <w:left w:val="single" w:sz="6" w:space="0" w:color="000000"/>
                    <w:bottom w:val="single" w:sz="6" w:space="0" w:color="000000"/>
                    <w:right w:val="single" w:sz="6" w:space="0" w:color="000000"/>
                  </w:tcBorders>
                  <w:shd w:val="clear" w:color="auto" w:fill="auto"/>
                </w:tcPr>
                <w:p w14:paraId="6FC540FE" w14:textId="77777777" w:rsidR="006A55C5" w:rsidRPr="00026E72" w:rsidRDefault="006A55C5" w:rsidP="006D21CB">
                  <w:pPr>
                    <w:pStyle w:val="Sraopastraipa"/>
                    <w:framePr w:hSpace="180" w:wrap="around" w:vAnchor="text" w:hAnchor="margin" w:y="38"/>
                    <w:numPr>
                      <w:ilvl w:val="0"/>
                      <w:numId w:val="27"/>
                    </w:numPr>
                    <w:textAlignment w:val="baseline"/>
                    <w:rPr>
                      <w:lang w:val="lt-LT" w:eastAsia="lt-LT"/>
                    </w:rPr>
                  </w:pPr>
                  <w:r w:rsidRPr="00026E72">
                    <w:rPr>
                      <w:lang w:val="lt-LT" w:eastAsia="lt-LT"/>
                    </w:rPr>
                    <w:t>Statybos techninis reglamentas STR 1.04.04:2017 „Statinio projektavimas, projekto ekspertizė“ aktuali redakcija; </w:t>
                  </w:r>
                </w:p>
                <w:p w14:paraId="60F0FAA8" w14:textId="77777777" w:rsidR="00026E72" w:rsidRPr="00026E72" w:rsidRDefault="00123EE5" w:rsidP="006D21CB">
                  <w:pPr>
                    <w:pStyle w:val="Sraopastraipa"/>
                    <w:framePr w:hSpace="180" w:wrap="around" w:vAnchor="text" w:hAnchor="margin" w:y="38"/>
                    <w:numPr>
                      <w:ilvl w:val="0"/>
                      <w:numId w:val="27"/>
                    </w:numPr>
                    <w:textAlignment w:val="baseline"/>
                    <w:rPr>
                      <w:lang w:val="lt-LT" w:eastAsia="lt-LT"/>
                    </w:rPr>
                  </w:pPr>
                  <w:r w:rsidRPr="00123EE5">
                    <w:rPr>
                      <w:lang w:eastAsia="lt-LT"/>
                    </w:rPr>
                    <w:t>Dėl statybos techninio reglamento STR 2.07.02:2024 „Slėptuvės, kolektyvinės apsaugos statinio ir priedangos projektavimo ir įrengimo reikalavimai“ patvirtinimo</w:t>
                  </w:r>
                  <w:r w:rsidR="00026E72">
                    <w:rPr>
                      <w:lang w:eastAsia="lt-LT"/>
                    </w:rPr>
                    <w:t xml:space="preserve"> </w:t>
                  </w:r>
                </w:p>
                <w:p w14:paraId="7D5B34C0" w14:textId="5E6EEFC3" w:rsidR="006A55C5" w:rsidRPr="00026E72" w:rsidRDefault="006A55C5" w:rsidP="006D21CB">
                  <w:pPr>
                    <w:pStyle w:val="Sraopastraipa"/>
                    <w:framePr w:hSpace="180" w:wrap="around" w:vAnchor="text" w:hAnchor="margin" w:y="38"/>
                    <w:numPr>
                      <w:ilvl w:val="0"/>
                      <w:numId w:val="27"/>
                    </w:numPr>
                    <w:textAlignment w:val="baseline"/>
                    <w:rPr>
                      <w:lang w:val="lt-LT" w:eastAsia="lt-LT"/>
                    </w:rPr>
                  </w:pPr>
                  <w:r w:rsidRPr="00026E72">
                    <w:rPr>
                      <w:lang w:val="lt-LT" w:eastAsia="lt-LT"/>
                    </w:rPr>
                    <w:t>Visi kiti galiojantys, bei artimiausiu metu įsigaliosiantys privalomieji normatyviniai statybos techniniai dokumentai (STR) ir kiti dokumentai, kurių reikalavimai yra privalomi visiems statybos dalyviams, viešojo administravimo subjektams, inžinerinių tinklų ir susisiekimo komunikacijų savininkams (naudotojams), juridiniams ir fiziniams asmenims, kurių veiklą reguliuoja Statybos įstatymas. </w:t>
                  </w:r>
                </w:p>
              </w:tc>
            </w:tr>
            <w:tr w:rsidR="006A55C5" w14:paraId="36FEED6E" w14:textId="77777777" w:rsidTr="00B126D2">
              <w:trPr>
                <w:trHeight w:val="300"/>
              </w:trPr>
              <w:tc>
                <w:tcPr>
                  <w:tcW w:w="9407" w:type="dxa"/>
                  <w:tcBorders>
                    <w:top w:val="single" w:sz="6" w:space="0" w:color="000000"/>
                    <w:left w:val="single" w:sz="6" w:space="0" w:color="000000"/>
                    <w:bottom w:val="single" w:sz="6" w:space="0" w:color="000000"/>
                    <w:right w:val="single" w:sz="6" w:space="0" w:color="000000"/>
                  </w:tcBorders>
                  <w:shd w:val="clear" w:color="auto" w:fill="auto"/>
                </w:tcPr>
                <w:p w14:paraId="3834A310" w14:textId="25B520A0" w:rsidR="006A55C5" w:rsidRPr="00026E72" w:rsidRDefault="006A55C5" w:rsidP="006D21CB">
                  <w:pPr>
                    <w:pStyle w:val="Sraopastraipa"/>
                    <w:framePr w:hSpace="180" w:wrap="around" w:vAnchor="text" w:hAnchor="margin" w:y="38"/>
                    <w:numPr>
                      <w:ilvl w:val="0"/>
                      <w:numId w:val="27"/>
                    </w:numPr>
                    <w:textAlignment w:val="baseline"/>
                    <w:rPr>
                      <w:lang w:val="lt-LT" w:eastAsia="lt-LT"/>
                    </w:rPr>
                  </w:pPr>
                  <w:r w:rsidRPr="00026E72">
                    <w:rPr>
                      <w:lang w:val="lt-LT" w:eastAsia="lt-LT"/>
                    </w:rPr>
                    <w:t>Lietuvos Respublikos Valstybės ir tarnybos paslapčių įstatymo aktuali redakcija; </w:t>
                  </w:r>
                </w:p>
                <w:p w14:paraId="56607CB8" w14:textId="77777777" w:rsidR="006A55C5" w:rsidRDefault="006A55C5" w:rsidP="006D21CB">
                  <w:pPr>
                    <w:framePr w:hSpace="180" w:wrap="around" w:vAnchor="text" w:hAnchor="margin" w:y="38"/>
                    <w:numPr>
                      <w:ilvl w:val="0"/>
                      <w:numId w:val="27"/>
                    </w:numPr>
                    <w:textAlignment w:val="baseline"/>
                    <w:rPr>
                      <w:lang w:val="lt-LT" w:eastAsia="lt-LT"/>
                    </w:rPr>
                  </w:pPr>
                  <w:r>
                    <w:rPr>
                      <w:lang w:val="lt-LT" w:eastAsia="lt-LT"/>
                    </w:rPr>
                    <w:t>2011 m. gruodžio 28 d. Lietuvos vyriausiojo archyvaro įsakymas ,,Dėl dokumentų saugojimo taisyklių patvirtinimo“ Nr. V-157; </w:t>
                  </w:r>
                </w:p>
                <w:p w14:paraId="0D0B8224" w14:textId="77777777" w:rsidR="006A55C5" w:rsidRDefault="006A55C5" w:rsidP="006D21CB">
                  <w:pPr>
                    <w:framePr w:hSpace="180" w:wrap="around" w:vAnchor="text" w:hAnchor="margin" w:y="38"/>
                    <w:numPr>
                      <w:ilvl w:val="0"/>
                      <w:numId w:val="27"/>
                    </w:numPr>
                    <w:textAlignment w:val="baseline"/>
                    <w:rPr>
                      <w:lang w:val="lt-LT" w:eastAsia="lt-LT"/>
                    </w:rPr>
                  </w:pPr>
                  <w:r>
                    <w:rPr>
                      <w:lang w:val="lt-LT" w:eastAsia="lt-LT"/>
                    </w:rPr>
                    <w:t>Lietuvos policijos generalinio komisaro 2010-05-12 įsakymas Nr. 5-V-382 ,,Dėl policijos įstaigų iškabų pavyzdžių patvirtinimo“; </w:t>
                  </w:r>
                </w:p>
                <w:p w14:paraId="0D8C654A" w14:textId="77777777" w:rsidR="006A55C5" w:rsidRDefault="006A55C5" w:rsidP="006D21CB">
                  <w:pPr>
                    <w:framePr w:hSpace="180" w:wrap="around" w:vAnchor="text" w:hAnchor="margin" w:y="38"/>
                    <w:numPr>
                      <w:ilvl w:val="0"/>
                      <w:numId w:val="27"/>
                    </w:numPr>
                    <w:textAlignment w:val="baseline"/>
                    <w:rPr>
                      <w:lang w:val="lt-LT" w:eastAsia="lt-LT"/>
                    </w:rPr>
                  </w:pPr>
                  <w:r>
                    <w:rPr>
                      <w:lang w:val="lt-LT" w:eastAsia="lt-LT"/>
                    </w:rPr>
                    <w:t>Lietuvos policijos generalinio komisaro 2010-03-31 įsakymas Nr. 5-V-263 ,,Dėl Lietuvos policijos generalinio komisaro 2004 m. spalio 11 d. įsakymo Nr. V-492 „Dėl teritorinių policijos įstaigų budėtojų padalinių patalpų įrengimo ir eksploatavimo reikalavimų patvirtinimo“ pakeitimo; </w:t>
                  </w:r>
                </w:p>
                <w:p w14:paraId="5E1682ED" w14:textId="77777777" w:rsidR="006A55C5" w:rsidRDefault="006A55C5" w:rsidP="006D21CB">
                  <w:pPr>
                    <w:framePr w:hSpace="180" w:wrap="around" w:vAnchor="text" w:hAnchor="margin" w:y="38"/>
                    <w:numPr>
                      <w:ilvl w:val="0"/>
                      <w:numId w:val="27"/>
                    </w:numPr>
                    <w:textAlignment w:val="baseline"/>
                    <w:rPr>
                      <w:lang w:val="lt-LT" w:eastAsia="lt-LT"/>
                    </w:rPr>
                  </w:pPr>
                  <w:r>
                    <w:rPr>
                      <w:lang w:val="lt-LT" w:eastAsia="lt-LT"/>
                    </w:rPr>
                    <w:t>Elektros įrenginių įrengimo bendrosios taisyklės, patvirtintos Lietuvos Respublikos energetikos ministro 2012 m. vasario 3 d. įsakymu Nr. 1-22 „Dėl elektros įrenginių įrengimo bendrųjų taisyklių patvirtinimo; </w:t>
                  </w:r>
                </w:p>
                <w:p w14:paraId="20A99D09" w14:textId="77777777" w:rsidR="006A55C5" w:rsidRDefault="006A55C5" w:rsidP="006D21CB">
                  <w:pPr>
                    <w:framePr w:hSpace="180" w:wrap="around" w:vAnchor="text" w:hAnchor="margin" w:y="38"/>
                    <w:numPr>
                      <w:ilvl w:val="0"/>
                      <w:numId w:val="27"/>
                    </w:numPr>
                    <w:textAlignment w:val="baseline"/>
                    <w:rPr>
                      <w:lang w:val="lt-LT" w:eastAsia="lt-LT"/>
                    </w:rPr>
                  </w:pPr>
                  <w:r>
                    <w:rPr>
                      <w:lang w:val="lt-LT" w:eastAsia="lt-LT"/>
                    </w:rPr>
                    <w:t>Lietuvos Respublikos paslapčių apsaugos koordinavimo komisijos 2007 m. vasario 2 d. protokolu Nr. 56-1KF patvirtinti reikalavimai; </w:t>
                  </w:r>
                </w:p>
                <w:p w14:paraId="25FA1B11" w14:textId="77777777" w:rsidR="006A55C5" w:rsidRDefault="006A55C5" w:rsidP="006D21CB">
                  <w:pPr>
                    <w:framePr w:hSpace="180" w:wrap="around" w:vAnchor="text" w:hAnchor="margin" w:y="38"/>
                    <w:numPr>
                      <w:ilvl w:val="0"/>
                      <w:numId w:val="27"/>
                    </w:numPr>
                    <w:textAlignment w:val="baseline"/>
                    <w:rPr>
                      <w:lang w:val="lt-LT" w:eastAsia="lt-LT"/>
                    </w:rPr>
                  </w:pPr>
                  <w:r>
                    <w:rPr>
                      <w:lang w:val="lt-LT" w:eastAsia="lt-LT"/>
                    </w:rPr>
                    <w:t>2009-06-09 m. Lietuvos policijos generalinio komisaro įsakymas Nr. 5-V-403 „Dėl policijos įstaigų vietinio kompiuterinių tinklo priežiūros taisyklių, vardų kodų sąrašo, vietinio kompiuterių tinklo dokumentavimo metodikos, minimalių reikalavimų technologinėms patalpoms ir policijos departamento prie Lietuvos respublikos vidaus reikalų ministerijos padalinių vardų kodų sąrašo patvirtinimo; </w:t>
                  </w:r>
                </w:p>
                <w:p w14:paraId="06ED28E1" w14:textId="77777777" w:rsidR="006A55C5" w:rsidRDefault="006A55C5" w:rsidP="006D21CB">
                  <w:pPr>
                    <w:framePr w:hSpace="180" w:wrap="around" w:vAnchor="text" w:hAnchor="margin" w:y="38"/>
                    <w:numPr>
                      <w:ilvl w:val="0"/>
                      <w:numId w:val="27"/>
                    </w:numPr>
                    <w:textAlignment w:val="baseline"/>
                    <w:rPr>
                      <w:lang w:val="lt-LT" w:eastAsia="lt-LT"/>
                    </w:rPr>
                  </w:pPr>
                  <w:r>
                    <w:rPr>
                      <w:lang w:val="lt-LT" w:eastAsia="lt-LT"/>
                    </w:rPr>
                    <w:t>LST 1516 „Statinio projektas. Bendrieji įforminimo reikalavimai“; </w:t>
                  </w:r>
                </w:p>
                <w:p w14:paraId="53460113" w14:textId="77777777" w:rsidR="006A55C5" w:rsidRDefault="006A55C5" w:rsidP="006D21CB">
                  <w:pPr>
                    <w:framePr w:hSpace="180" w:wrap="around" w:vAnchor="text" w:hAnchor="margin" w:y="38"/>
                    <w:numPr>
                      <w:ilvl w:val="0"/>
                      <w:numId w:val="27"/>
                    </w:numPr>
                    <w:textAlignment w:val="baseline"/>
                    <w:rPr>
                      <w:lang w:val="lt-LT" w:eastAsia="lt-LT"/>
                    </w:rPr>
                  </w:pPr>
                  <w:r>
                    <w:rPr>
                      <w:lang w:val="lt-LT" w:eastAsia="lt-LT"/>
                    </w:rPr>
                    <w:t xml:space="preserve">EIA/TIA-568 - </w:t>
                  </w:r>
                  <w:proofErr w:type="spellStart"/>
                  <w:r>
                    <w:rPr>
                      <w:lang w:val="lt-LT" w:eastAsia="lt-LT"/>
                    </w:rPr>
                    <w:t>kabeliavimo</w:t>
                  </w:r>
                  <w:proofErr w:type="spellEnd"/>
                  <w:r>
                    <w:rPr>
                      <w:lang w:val="lt-LT" w:eastAsia="lt-LT"/>
                    </w:rPr>
                    <w:t xml:space="preserve"> standartas arba lygiavertis; </w:t>
                  </w:r>
                </w:p>
                <w:p w14:paraId="3FA41EBA" w14:textId="77777777" w:rsidR="006A55C5" w:rsidRDefault="006A55C5" w:rsidP="006D21CB">
                  <w:pPr>
                    <w:framePr w:hSpace="180" w:wrap="around" w:vAnchor="text" w:hAnchor="margin" w:y="38"/>
                    <w:numPr>
                      <w:ilvl w:val="0"/>
                      <w:numId w:val="27"/>
                    </w:numPr>
                    <w:textAlignment w:val="baseline"/>
                    <w:rPr>
                      <w:lang w:val="lt-LT" w:eastAsia="lt-LT"/>
                    </w:rPr>
                  </w:pPr>
                  <w:r>
                    <w:rPr>
                      <w:lang w:val="lt-LT" w:eastAsia="lt-LT"/>
                    </w:rPr>
                    <w:t>EIA/TIA-569 - tinklo sąsajų standartas arba lygiavertis; </w:t>
                  </w:r>
                </w:p>
                <w:p w14:paraId="163BA3D5" w14:textId="77777777" w:rsidR="006A55C5" w:rsidRDefault="006A55C5" w:rsidP="006D21CB">
                  <w:pPr>
                    <w:framePr w:hSpace="180" w:wrap="around" w:vAnchor="text" w:hAnchor="margin" w:y="38"/>
                    <w:numPr>
                      <w:ilvl w:val="0"/>
                      <w:numId w:val="27"/>
                    </w:numPr>
                    <w:textAlignment w:val="baseline"/>
                    <w:rPr>
                      <w:lang w:val="lt-LT" w:eastAsia="lt-LT"/>
                    </w:rPr>
                  </w:pPr>
                  <w:r>
                    <w:rPr>
                      <w:lang w:val="lt-LT" w:eastAsia="lt-LT"/>
                    </w:rPr>
                    <w:t>Struktūrizuotų kabelinių sistemų įrengimas - EN 50173 arba lygiavertis; ISO/IEC 11801 arba lygiavertis; </w:t>
                  </w:r>
                </w:p>
                <w:p w14:paraId="0908E931" w14:textId="77777777" w:rsidR="006A55C5" w:rsidRDefault="006A55C5" w:rsidP="006D21CB">
                  <w:pPr>
                    <w:framePr w:hSpace="180" w:wrap="around" w:vAnchor="text" w:hAnchor="margin" w:y="38"/>
                    <w:numPr>
                      <w:ilvl w:val="0"/>
                      <w:numId w:val="27"/>
                    </w:numPr>
                    <w:textAlignment w:val="baseline"/>
                    <w:rPr>
                      <w:lang w:val="lt-LT" w:eastAsia="lt-LT"/>
                    </w:rPr>
                  </w:pPr>
                  <w:r>
                    <w:rPr>
                      <w:lang w:val="lt-LT" w:eastAsia="lt-LT"/>
                    </w:rPr>
                    <w:t>Kabelinių sistemų instaliavimas, specifikacijos ir kokybės užtikrinimas - EN50174-1 arba lygiavertis; </w:t>
                  </w:r>
                </w:p>
                <w:p w14:paraId="35E6A2DE" w14:textId="77777777" w:rsidR="006A55C5" w:rsidRDefault="006A55C5" w:rsidP="006D21CB">
                  <w:pPr>
                    <w:framePr w:hSpace="180" w:wrap="around" w:vAnchor="text" w:hAnchor="margin" w:y="38"/>
                    <w:numPr>
                      <w:ilvl w:val="0"/>
                      <w:numId w:val="27"/>
                    </w:numPr>
                    <w:textAlignment w:val="baseline"/>
                    <w:rPr>
                      <w:lang w:val="lt-LT" w:eastAsia="lt-LT"/>
                    </w:rPr>
                  </w:pPr>
                  <w:r>
                    <w:rPr>
                      <w:lang w:val="lt-LT" w:eastAsia="lt-LT"/>
                    </w:rPr>
                    <w:t>Kabelinių sistemų instaliavimo planavimas ir atlikimas - EN50174-2 arba lygiavertis, EN50174-3 arba lygiavertis; </w:t>
                  </w:r>
                </w:p>
                <w:p w14:paraId="6C02DC9D" w14:textId="77777777" w:rsidR="006A55C5" w:rsidRDefault="006A55C5" w:rsidP="006D21CB">
                  <w:pPr>
                    <w:framePr w:hSpace="180" w:wrap="around" w:vAnchor="text" w:hAnchor="margin" w:y="38"/>
                    <w:numPr>
                      <w:ilvl w:val="0"/>
                      <w:numId w:val="27"/>
                    </w:numPr>
                    <w:textAlignment w:val="baseline"/>
                    <w:rPr>
                      <w:lang w:val="lt-LT" w:eastAsia="lt-LT"/>
                    </w:rPr>
                  </w:pPr>
                  <w:r>
                    <w:rPr>
                      <w:lang w:val="lt-LT" w:eastAsia="lt-LT"/>
                    </w:rPr>
                    <w:t>Instaliacijos kabeliniams kanalams, vamzdynams ir pan. - EN50085 arba lygiavertis, EN50086 arba lygiavertis, EN61537 arba lygiavertis;  </w:t>
                  </w:r>
                </w:p>
                <w:p w14:paraId="44D65531" w14:textId="77777777" w:rsidR="006A55C5" w:rsidRDefault="006A55C5" w:rsidP="006D21CB">
                  <w:pPr>
                    <w:framePr w:hSpace="180" w:wrap="around" w:vAnchor="text" w:hAnchor="margin" w:y="38"/>
                    <w:numPr>
                      <w:ilvl w:val="0"/>
                      <w:numId w:val="27"/>
                    </w:numPr>
                    <w:textAlignment w:val="baseline"/>
                    <w:rPr>
                      <w:lang w:val="lt-LT" w:eastAsia="lt-LT"/>
                    </w:rPr>
                  </w:pPr>
                  <w:r>
                    <w:rPr>
                      <w:lang w:val="lt-LT" w:eastAsia="lt-LT"/>
                    </w:rPr>
                    <w:t>Elektromagnetinis suderinamumas - EN50081 arba lygiavertis, EN50082 arba lygiavertis; </w:t>
                  </w:r>
                </w:p>
                <w:p w14:paraId="6D8F10D7" w14:textId="77777777" w:rsidR="006A55C5" w:rsidRDefault="006A55C5" w:rsidP="006D21CB">
                  <w:pPr>
                    <w:framePr w:hSpace="180" w:wrap="around" w:vAnchor="text" w:hAnchor="margin" w:y="38"/>
                    <w:numPr>
                      <w:ilvl w:val="0"/>
                      <w:numId w:val="27"/>
                    </w:numPr>
                    <w:textAlignment w:val="baseline"/>
                    <w:rPr>
                      <w:lang w:val="lt-LT" w:eastAsia="lt-LT"/>
                    </w:rPr>
                  </w:pPr>
                  <w:r>
                    <w:rPr>
                      <w:lang w:val="lt-LT" w:eastAsia="lt-LT"/>
                    </w:rPr>
                    <w:t>Instaliuotos kabelinės sistemos testavimas - EN50346 arba lygiavertis; </w:t>
                  </w:r>
                </w:p>
                <w:p w14:paraId="2485F25B" w14:textId="77777777" w:rsidR="006A55C5" w:rsidRDefault="006A55C5" w:rsidP="006D21CB">
                  <w:pPr>
                    <w:framePr w:hSpace="180" w:wrap="around" w:vAnchor="text" w:hAnchor="margin" w:y="38"/>
                    <w:numPr>
                      <w:ilvl w:val="0"/>
                      <w:numId w:val="27"/>
                    </w:numPr>
                    <w:textAlignment w:val="baseline"/>
                    <w:rPr>
                      <w:lang w:val="lt-LT" w:eastAsia="lt-LT"/>
                    </w:rPr>
                  </w:pPr>
                  <w:r>
                    <w:rPr>
                      <w:lang w:val="lt-LT" w:eastAsia="lt-LT"/>
                    </w:rPr>
                    <w:t>Informacinių technologijų įrangos potencialai ir žeminimas — EN50310 arba lygiavertis; </w:t>
                  </w:r>
                </w:p>
                <w:p w14:paraId="41AF566A" w14:textId="77777777" w:rsidR="006A55C5" w:rsidRDefault="006A55C5" w:rsidP="006D21CB">
                  <w:pPr>
                    <w:framePr w:hSpace="180" w:wrap="around" w:vAnchor="text" w:hAnchor="margin" w:y="38"/>
                    <w:numPr>
                      <w:ilvl w:val="0"/>
                      <w:numId w:val="27"/>
                    </w:numPr>
                    <w:textAlignment w:val="baseline"/>
                    <w:rPr>
                      <w:lang w:val="lt-LT" w:eastAsia="lt-LT"/>
                    </w:rPr>
                  </w:pPr>
                  <w:r>
                    <w:rPr>
                      <w:lang w:val="lt-LT" w:eastAsia="lt-LT"/>
                    </w:rPr>
                    <w:t>Standartai saugumui: IEC 60950-1 arba lygiavertis, EN 60950 arba lygiavertis, UL 60950-1 arba lygiavertis, CAN/CSA C22.2 No.60950-1-03 arba lygiavertis, EMF:EN 50385 arba lygiavertis;  </w:t>
                  </w:r>
                </w:p>
                <w:p w14:paraId="7E92F3AD" w14:textId="77777777" w:rsidR="006A55C5" w:rsidRDefault="006A55C5" w:rsidP="006D21CB">
                  <w:pPr>
                    <w:framePr w:hSpace="180" w:wrap="around" w:vAnchor="text" w:hAnchor="margin" w:y="38"/>
                    <w:numPr>
                      <w:ilvl w:val="0"/>
                      <w:numId w:val="27"/>
                    </w:numPr>
                    <w:rPr>
                      <w:lang w:val="lt-LT" w:eastAsia="lt-LT"/>
                    </w:rPr>
                  </w:pPr>
                  <w:r>
                    <w:rPr>
                      <w:lang w:val="lt-LT" w:eastAsia="lt-LT"/>
                    </w:rPr>
                    <w:t xml:space="preserve">Standartai elektromagnetiniam suderinamumui: FCC </w:t>
                  </w:r>
                  <w:proofErr w:type="spellStart"/>
                  <w:r>
                    <w:rPr>
                      <w:lang w:val="lt-LT" w:eastAsia="lt-LT"/>
                    </w:rPr>
                    <w:t>Part</w:t>
                  </w:r>
                  <w:proofErr w:type="spellEnd"/>
                  <w:r>
                    <w:rPr>
                      <w:lang w:val="lt-LT" w:eastAsia="lt-LT"/>
                    </w:rPr>
                    <w:t xml:space="preserve"> 15, </w:t>
                  </w:r>
                  <w:proofErr w:type="spellStart"/>
                  <w:r>
                    <w:rPr>
                      <w:lang w:val="lt-LT" w:eastAsia="lt-LT"/>
                    </w:rPr>
                    <w:t>Subpart</w:t>
                  </w:r>
                  <w:proofErr w:type="spellEnd"/>
                  <w:r>
                    <w:rPr>
                      <w:lang w:val="lt-LT" w:eastAsia="lt-LT"/>
                    </w:rPr>
                    <w:t xml:space="preserve"> B, </w:t>
                  </w:r>
                  <w:proofErr w:type="spellStart"/>
                  <w:r>
                    <w:rPr>
                      <w:lang w:val="lt-LT" w:eastAsia="lt-LT"/>
                    </w:rPr>
                    <w:t>Class</w:t>
                  </w:r>
                  <w:proofErr w:type="spellEnd"/>
                  <w:r>
                    <w:rPr>
                      <w:lang w:val="lt-LT" w:eastAsia="lt-LT"/>
                    </w:rPr>
                    <w:t xml:space="preserve"> B, FCC </w:t>
                  </w:r>
                  <w:proofErr w:type="spellStart"/>
                  <w:r>
                    <w:rPr>
                      <w:lang w:val="lt-LT" w:eastAsia="lt-LT"/>
                    </w:rPr>
                    <w:t>Parts</w:t>
                  </w:r>
                  <w:proofErr w:type="spellEnd"/>
                  <w:r>
                    <w:rPr>
                      <w:lang w:val="lt-LT" w:eastAsia="lt-LT"/>
                    </w:rPr>
                    <w:t xml:space="preserve"> </w:t>
                  </w:r>
                  <w:r>
                    <w:rPr>
                      <w:lang w:val="lt-LT" w:eastAsia="lt-LT"/>
                    </w:rPr>
                    <w:lastRenderedPageBreak/>
                    <w:t xml:space="preserve">15.107 &amp; 15.109 </w:t>
                  </w:r>
                  <w:proofErr w:type="spellStart"/>
                  <w:r>
                    <w:rPr>
                      <w:lang w:val="lt-LT" w:eastAsia="lt-LT"/>
                    </w:rPr>
                    <w:t>Class</w:t>
                  </w:r>
                  <w:proofErr w:type="spellEnd"/>
                  <w:r>
                    <w:rPr>
                      <w:lang w:val="lt-LT" w:eastAsia="lt-LT"/>
                    </w:rPr>
                    <w:t xml:space="preserve"> B, ICES-003, </w:t>
                  </w:r>
                  <w:proofErr w:type="spellStart"/>
                  <w:r>
                    <w:rPr>
                      <w:lang w:val="lt-LT" w:eastAsia="lt-LT"/>
                    </w:rPr>
                    <w:t>Class</w:t>
                  </w:r>
                  <w:proofErr w:type="spellEnd"/>
                  <w:r>
                    <w:rPr>
                      <w:lang w:val="lt-LT" w:eastAsia="lt-LT"/>
                    </w:rPr>
                    <w:t xml:space="preserve"> B, EN 55011 (CISPR 11), </w:t>
                  </w:r>
                  <w:proofErr w:type="spellStart"/>
                  <w:r>
                    <w:rPr>
                      <w:lang w:val="lt-LT" w:eastAsia="lt-LT"/>
                    </w:rPr>
                    <w:t>Class</w:t>
                  </w:r>
                  <w:proofErr w:type="spellEnd"/>
                  <w:r>
                    <w:rPr>
                      <w:lang w:val="lt-LT" w:eastAsia="lt-LT"/>
                    </w:rPr>
                    <w:t xml:space="preserve"> B. EN 55022 (CISPR22), </w:t>
                  </w:r>
                  <w:proofErr w:type="spellStart"/>
                  <w:r>
                    <w:rPr>
                      <w:lang w:val="lt-LT" w:eastAsia="lt-LT"/>
                    </w:rPr>
                    <w:t>Class</w:t>
                  </w:r>
                  <w:proofErr w:type="spellEnd"/>
                  <w:r>
                    <w:rPr>
                      <w:lang w:val="lt-LT" w:eastAsia="lt-LT"/>
                    </w:rPr>
                    <w:t xml:space="preserve"> A, EN 55024 (CISPR 24), EN/UL60601-1-2 (EMC) EN 301 489-1 &amp; -17 arba lygiaverčiai standartai; </w:t>
                  </w:r>
                </w:p>
                <w:p w14:paraId="669B2583" w14:textId="77777777" w:rsidR="006A55C5" w:rsidRDefault="006A55C5" w:rsidP="006D21CB">
                  <w:pPr>
                    <w:framePr w:hSpace="180" w:wrap="around" w:vAnchor="text" w:hAnchor="margin" w:y="38"/>
                    <w:numPr>
                      <w:ilvl w:val="0"/>
                      <w:numId w:val="27"/>
                    </w:numPr>
                    <w:rPr>
                      <w:lang w:val="lt-LT" w:eastAsia="lt-LT"/>
                    </w:rPr>
                  </w:pPr>
                  <w:r>
                    <w:rPr>
                      <w:lang w:val="lt-LT" w:eastAsia="lt-LT"/>
                    </w:rPr>
                    <w:t>Lietuvos policijos generalinio komisaro 2022-02-08 įsakymas Nr. 5-V-165,,Dėl tipinių policijos pastatų, statinių ir patalpų reikalavimų aprašo patvirtinimo“ (su vėlesniais pakeitimais);</w:t>
                  </w:r>
                </w:p>
                <w:p w14:paraId="68FB018E" w14:textId="77777777" w:rsidR="006A55C5" w:rsidRDefault="006A55C5" w:rsidP="006D21CB">
                  <w:pPr>
                    <w:framePr w:hSpace="180" w:wrap="around" w:vAnchor="text" w:hAnchor="margin" w:y="38"/>
                    <w:numPr>
                      <w:ilvl w:val="0"/>
                      <w:numId w:val="27"/>
                    </w:numPr>
                    <w:rPr>
                      <w:lang w:val="lt-LT" w:eastAsia="lt-LT"/>
                    </w:rPr>
                  </w:pPr>
                  <w:r>
                    <w:rPr>
                      <w:lang w:val="lt-LT" w:eastAsia="lt-LT"/>
                    </w:rPr>
                    <w:t>Lietuvos Respublikos vyriausybės 2018 m. rugpjūčio 13 d. nutarimas Nr. 820 ,,Dėl  įslaptintos informacijos fizinės apsaugos reikalavimų ir jų įgyvendinimo tvarkos patvirtinimo“;</w:t>
                  </w:r>
                </w:p>
                <w:p w14:paraId="0077A52B" w14:textId="77777777" w:rsidR="006A55C5" w:rsidRDefault="006A55C5" w:rsidP="006D21CB">
                  <w:pPr>
                    <w:framePr w:hSpace="180" w:wrap="around" w:vAnchor="text" w:hAnchor="margin" w:y="38"/>
                    <w:numPr>
                      <w:ilvl w:val="0"/>
                      <w:numId w:val="27"/>
                    </w:numPr>
                    <w:rPr>
                      <w:lang w:val="lt-LT" w:eastAsia="lt-LT"/>
                    </w:rPr>
                  </w:pPr>
                  <w:r>
                    <w:rPr>
                      <w:lang w:val="lt-LT" w:eastAsia="lt-LT"/>
                    </w:rPr>
                    <w:t>Lietuvos policijos generalinio komisaro 2021-01-27 įsakymas Nr. 5-V-70 ,,Dėl  Policijos įstaigų pastatų apsauginės signalizacijos, įeigos ir transporto priemonių įvažiavimo kontrolės, gaisro aptikimo ir signalizavimo sistemų įrengimo reikalavimų patvirtinimo“;</w:t>
                  </w:r>
                </w:p>
                <w:p w14:paraId="09080A69" w14:textId="77777777" w:rsidR="006A55C5" w:rsidRDefault="006A55C5" w:rsidP="006D21CB">
                  <w:pPr>
                    <w:framePr w:hSpace="180" w:wrap="around" w:vAnchor="text" w:hAnchor="margin" w:y="38"/>
                    <w:numPr>
                      <w:ilvl w:val="0"/>
                      <w:numId w:val="27"/>
                    </w:numPr>
                    <w:rPr>
                      <w:lang w:val="lt-LT" w:eastAsia="lt-LT"/>
                    </w:rPr>
                  </w:pPr>
                  <w:r>
                    <w:rPr>
                      <w:lang w:val="lt-LT" w:eastAsia="lt-LT"/>
                    </w:rPr>
                    <w:t>Lietuvos policijos generalinio komisaro 2020 m. spalio 29 d. įsakymas Nr. 5-V-885 „Dėl Policijos departamento prie Lietuvos Respublikos vidaus reikalų ministerijos saugumo zonų, kuriuose dirbama su įslaptinta informacija ar tokia informacija saugoma, fizinės apsaugos procedūrų tvarkos aprašo patvirtinimo“;</w:t>
                  </w:r>
                </w:p>
                <w:p w14:paraId="148422EF" w14:textId="77777777" w:rsidR="006A55C5" w:rsidRDefault="006A55C5" w:rsidP="006D21CB">
                  <w:pPr>
                    <w:framePr w:hSpace="180" w:wrap="around" w:vAnchor="text" w:hAnchor="margin" w:y="38"/>
                    <w:numPr>
                      <w:ilvl w:val="0"/>
                      <w:numId w:val="27"/>
                    </w:numPr>
                    <w:rPr>
                      <w:lang w:val="lt-LT" w:eastAsia="lt-LT"/>
                    </w:rPr>
                  </w:pPr>
                  <w:r>
                    <w:rPr>
                      <w:lang w:val="lt-LT" w:eastAsia="lt-LT"/>
                    </w:rPr>
                    <w:t>Lietuvos policijos generalinio komisaro 2017 m. spalio 23 d. įsakymas Nr. 5-V-876 „Dėl savivaldybių, valstybės institucijų, juridinių ir fizinių asmenų įsigyjamų ir diegiamų vaizdo stebėjimo kamerų reikalingų minimalių techninių parametrų rekomendacijų patvirtinimo“;</w:t>
                  </w:r>
                </w:p>
                <w:p w14:paraId="2C3CE010" w14:textId="77777777" w:rsidR="006A55C5" w:rsidRDefault="006A55C5" w:rsidP="006D21CB">
                  <w:pPr>
                    <w:framePr w:hSpace="180" w:wrap="around" w:vAnchor="text" w:hAnchor="margin" w:y="38"/>
                    <w:numPr>
                      <w:ilvl w:val="0"/>
                      <w:numId w:val="27"/>
                    </w:numPr>
                    <w:rPr>
                      <w:lang w:val="lt-LT" w:eastAsia="lt-LT"/>
                    </w:rPr>
                  </w:pPr>
                  <w:r>
                    <w:rPr>
                      <w:lang w:val="lt-LT" w:eastAsia="lt-LT"/>
                    </w:rPr>
                    <w:t>Lietuvos policijos generalinio komisaro 2009-07-01 įsakymas Nr. 5-V-465 „Dėl minimalių policijos įstaigų vietinio kompiuterinio tinklo įrengimo reikalavimų patvirtinimo“;</w:t>
                  </w:r>
                </w:p>
                <w:p w14:paraId="67DE3748" w14:textId="77777777" w:rsidR="00A973BE" w:rsidRDefault="006A55C5" w:rsidP="006D21CB">
                  <w:pPr>
                    <w:framePr w:hSpace="180" w:wrap="around" w:vAnchor="text" w:hAnchor="margin" w:y="38"/>
                    <w:numPr>
                      <w:ilvl w:val="0"/>
                      <w:numId w:val="27"/>
                    </w:numPr>
                    <w:rPr>
                      <w:lang w:val="lt-LT" w:eastAsia="lt-LT"/>
                    </w:rPr>
                  </w:pPr>
                  <w:r>
                    <w:rPr>
                      <w:lang w:val="lt-LT" w:eastAsia="lt-LT"/>
                    </w:rPr>
                    <w:t>Lietuvos vyriausiojo archyvaro 2011-12-28  įsakymas Nr. V-157,,Dėl dokumentų saugojimo taisyklių patvirtinimo“ (aktuali redakcija).</w:t>
                  </w:r>
                </w:p>
                <w:p w14:paraId="06D86748" w14:textId="3D079B51" w:rsidR="006A55C5" w:rsidRPr="00A973BE" w:rsidRDefault="006A55C5" w:rsidP="006D21CB">
                  <w:pPr>
                    <w:framePr w:hSpace="180" w:wrap="around" w:vAnchor="text" w:hAnchor="margin" w:y="38"/>
                    <w:numPr>
                      <w:ilvl w:val="0"/>
                      <w:numId w:val="27"/>
                    </w:numPr>
                    <w:rPr>
                      <w:lang w:val="lt-LT" w:eastAsia="lt-LT"/>
                    </w:rPr>
                  </w:pPr>
                  <w:r w:rsidRPr="00A973BE">
                    <w:rPr>
                      <w:lang w:val="lt-LT" w:eastAsia="lt-LT"/>
                    </w:rPr>
                    <w:t>Kiti privalomieji dokumentai.  </w:t>
                  </w:r>
                </w:p>
              </w:tc>
            </w:tr>
          </w:tbl>
          <w:p w14:paraId="6CE7583E" w14:textId="77777777" w:rsidR="006A55C5" w:rsidRDefault="006A55C5" w:rsidP="00B126D2">
            <w:pPr>
              <w:jc w:val="both"/>
              <w:textAlignment w:val="baseline"/>
              <w:rPr>
                <w:lang w:val="lt-LT" w:eastAsia="lt-LT"/>
              </w:rPr>
            </w:pPr>
            <w:r>
              <w:rPr>
                <w:lang w:val="lt-LT" w:eastAsia="lt-LT"/>
              </w:rPr>
              <w:lastRenderedPageBreak/>
              <w:t> </w:t>
            </w:r>
          </w:p>
          <w:p w14:paraId="02314713" w14:textId="77777777" w:rsidR="006A55C5" w:rsidRDefault="006A55C5" w:rsidP="00B126D2">
            <w:pPr>
              <w:ind w:left="135"/>
              <w:jc w:val="both"/>
              <w:textAlignment w:val="baseline"/>
              <w:rPr>
                <w:lang w:val="lt-LT" w:eastAsia="lt-LT"/>
              </w:rPr>
            </w:pPr>
            <w:r>
              <w:rPr>
                <w:lang w:val="lt-LT" w:eastAsia="lt-LT"/>
              </w:rPr>
              <w:t> </w:t>
            </w:r>
          </w:p>
          <w:p w14:paraId="378063D1" w14:textId="77777777" w:rsidR="006A55C5" w:rsidRDefault="006A55C5" w:rsidP="00B126D2">
            <w:pPr>
              <w:ind w:left="135"/>
              <w:jc w:val="both"/>
              <w:textAlignment w:val="baseline"/>
              <w:rPr>
                <w:lang w:val="lt-LT" w:eastAsia="lt-LT"/>
              </w:rPr>
            </w:pPr>
            <w:r>
              <w:rPr>
                <w:i/>
                <w:iCs/>
                <w:lang w:val="lt-LT" w:eastAsia="lt-LT"/>
              </w:rPr>
              <w:t>PASTABOS</w:t>
            </w:r>
            <w:r>
              <w:rPr>
                <w:lang w:val="lt-LT" w:eastAsia="lt-LT"/>
              </w:rPr>
              <w:t>: </w:t>
            </w:r>
          </w:p>
          <w:p w14:paraId="53822072" w14:textId="77777777" w:rsidR="006A55C5" w:rsidRDefault="006A55C5" w:rsidP="004F1689">
            <w:pPr>
              <w:numPr>
                <w:ilvl w:val="0"/>
                <w:numId w:val="24"/>
              </w:numPr>
              <w:tabs>
                <w:tab w:val="left" w:pos="1592"/>
              </w:tabs>
              <w:ind w:left="1290" w:firstLine="0"/>
              <w:jc w:val="both"/>
              <w:textAlignment w:val="baseline"/>
              <w:rPr>
                <w:lang w:val="lt-LT" w:eastAsia="lt-LT"/>
              </w:rPr>
            </w:pPr>
            <w:r>
              <w:rPr>
                <w:i/>
                <w:iCs/>
                <w:lang w:val="lt-LT" w:eastAsia="lt-LT"/>
              </w:rPr>
              <w:t>Nustojus galioti kuriam nors iš nurodytų dokumentų, galioja jį keičiantis dokumentas, taip pat atsižvelgiama į visus pagrindinio dokumento paskesnius pakeitimus;</w:t>
            </w:r>
            <w:r>
              <w:rPr>
                <w:lang w:val="lt-LT" w:eastAsia="lt-LT"/>
              </w:rPr>
              <w:t> </w:t>
            </w:r>
          </w:p>
          <w:p w14:paraId="422385E3" w14:textId="77777777" w:rsidR="006A55C5" w:rsidRDefault="006A55C5" w:rsidP="004F1689">
            <w:pPr>
              <w:numPr>
                <w:ilvl w:val="0"/>
                <w:numId w:val="25"/>
              </w:numPr>
              <w:tabs>
                <w:tab w:val="left" w:pos="1592"/>
              </w:tabs>
              <w:ind w:left="1290" w:firstLine="0"/>
              <w:jc w:val="both"/>
              <w:textAlignment w:val="baseline"/>
              <w:rPr>
                <w:lang w:val="lt-LT" w:eastAsia="lt-LT"/>
              </w:rPr>
            </w:pPr>
            <w:r>
              <w:rPr>
                <w:i/>
                <w:iCs/>
                <w:lang w:val="lt-LT" w:eastAsia="lt-LT"/>
              </w:rPr>
              <w:t>Jei atskiruose normatyviniuose aktuose tai pačiai konstrukcijai, savybei, rodikliui, pastato elementui ir pan. nustatyti skirtingi parametrai, pasirenkamas tas, kuris užtikrina geresnes pastato fizines, technines ir eksploatacines savybes;</w:t>
            </w:r>
            <w:r>
              <w:rPr>
                <w:lang w:val="lt-LT" w:eastAsia="lt-LT"/>
              </w:rPr>
              <w:t> </w:t>
            </w:r>
          </w:p>
          <w:p w14:paraId="67D43273" w14:textId="77777777" w:rsidR="006A55C5" w:rsidRDefault="006A55C5" w:rsidP="004F1689">
            <w:pPr>
              <w:numPr>
                <w:ilvl w:val="0"/>
                <w:numId w:val="26"/>
              </w:numPr>
              <w:tabs>
                <w:tab w:val="left" w:pos="1592"/>
              </w:tabs>
              <w:ind w:left="1290" w:firstLine="0"/>
              <w:jc w:val="both"/>
              <w:textAlignment w:val="baseline"/>
              <w:rPr>
                <w:lang w:val="lt-LT" w:eastAsia="lt-LT"/>
              </w:rPr>
            </w:pPr>
            <w:r>
              <w:rPr>
                <w:i/>
                <w:iCs/>
                <w:lang w:val="lt-LT" w:eastAsia="lt-LT"/>
              </w:rPr>
              <w:t>Rengdamas projektą Projektuotojas taip pat vadovaujasi ir kituose sutarties dokumentuose įvardintais normatyviniais aktais.</w:t>
            </w:r>
            <w:r>
              <w:rPr>
                <w:lang w:val="lt-LT" w:eastAsia="lt-LT"/>
              </w:rPr>
              <w:t> </w:t>
            </w:r>
          </w:p>
          <w:p w14:paraId="52A04F93" w14:textId="77777777" w:rsidR="006A55C5" w:rsidRDefault="006A55C5" w:rsidP="00B126D2">
            <w:pPr>
              <w:spacing w:line="259" w:lineRule="auto"/>
              <w:jc w:val="center"/>
              <w:rPr>
                <w:lang w:val="lt-LT"/>
              </w:rPr>
            </w:pPr>
          </w:p>
          <w:p w14:paraId="6B19A686" w14:textId="77777777" w:rsidR="006A55C5" w:rsidRDefault="006A55C5" w:rsidP="00B126D2">
            <w:pPr>
              <w:spacing w:line="259" w:lineRule="auto"/>
              <w:jc w:val="center"/>
              <w:rPr>
                <w:lang w:val="lt-LT"/>
              </w:rPr>
            </w:pPr>
          </w:p>
        </w:tc>
      </w:tr>
    </w:tbl>
    <w:p w14:paraId="3ABAA507" w14:textId="77777777" w:rsidR="006A55C5" w:rsidRDefault="006A55C5" w:rsidP="006A55C5">
      <w:pPr>
        <w:spacing w:line="259" w:lineRule="auto"/>
        <w:rPr>
          <w:lang w:val="lt-LT"/>
        </w:rPr>
      </w:pPr>
    </w:p>
    <w:p w14:paraId="46CB8796" w14:textId="77777777" w:rsidR="006A55C5" w:rsidRDefault="006A55C5"/>
    <w:sectPr w:rsidR="006A55C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5B7"/>
    <w:multiLevelType w:val="multilevel"/>
    <w:tmpl w:val="EAF0A74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501F99"/>
    <w:multiLevelType w:val="multilevel"/>
    <w:tmpl w:val="C8224E38"/>
    <w:lvl w:ilvl="0">
      <w:start w:val="2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263B03"/>
    <w:multiLevelType w:val="multilevel"/>
    <w:tmpl w:val="2BCA522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3F7A03"/>
    <w:multiLevelType w:val="multilevel"/>
    <w:tmpl w:val="4D16C7CA"/>
    <w:lvl w:ilvl="0">
      <w:start w:val="2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6730026"/>
    <w:multiLevelType w:val="multilevel"/>
    <w:tmpl w:val="E22A0A34"/>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7F7213A"/>
    <w:multiLevelType w:val="multilevel"/>
    <w:tmpl w:val="ED1A91F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B3C02F0"/>
    <w:multiLevelType w:val="multilevel"/>
    <w:tmpl w:val="B8ECD3D0"/>
    <w:lvl w:ilvl="0">
      <w:start w:val="2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6973172"/>
    <w:multiLevelType w:val="multilevel"/>
    <w:tmpl w:val="3B547FDC"/>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D9E421F"/>
    <w:multiLevelType w:val="multilevel"/>
    <w:tmpl w:val="CC9C15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E273E4B"/>
    <w:multiLevelType w:val="multilevel"/>
    <w:tmpl w:val="28AC9C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5885BC9"/>
    <w:multiLevelType w:val="multilevel"/>
    <w:tmpl w:val="DEDC17D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D400185"/>
    <w:multiLevelType w:val="multilevel"/>
    <w:tmpl w:val="0A5488A0"/>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E8077FE"/>
    <w:multiLevelType w:val="multilevel"/>
    <w:tmpl w:val="56045D94"/>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1A64783"/>
    <w:multiLevelType w:val="multilevel"/>
    <w:tmpl w:val="662031C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7CE6F6D"/>
    <w:multiLevelType w:val="multilevel"/>
    <w:tmpl w:val="CFA45E3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B9D0DD1"/>
    <w:multiLevelType w:val="multilevel"/>
    <w:tmpl w:val="723CFE1E"/>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19847B9"/>
    <w:multiLevelType w:val="multilevel"/>
    <w:tmpl w:val="85A45C4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3544CC4"/>
    <w:multiLevelType w:val="multilevel"/>
    <w:tmpl w:val="7556CE3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5786D1F"/>
    <w:multiLevelType w:val="multilevel"/>
    <w:tmpl w:val="004CCCD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6AC1335"/>
    <w:multiLevelType w:val="multilevel"/>
    <w:tmpl w:val="03D43BA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7FB51BB"/>
    <w:multiLevelType w:val="multilevel"/>
    <w:tmpl w:val="812CD65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9095A18"/>
    <w:multiLevelType w:val="multilevel"/>
    <w:tmpl w:val="0CD0D5D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9B3550B"/>
    <w:multiLevelType w:val="multilevel"/>
    <w:tmpl w:val="CC9C15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E6D135E"/>
    <w:multiLevelType w:val="multilevel"/>
    <w:tmpl w:val="4DBED8B4"/>
    <w:lvl w:ilvl="0">
      <w:start w:val="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04C62D3"/>
    <w:multiLevelType w:val="multilevel"/>
    <w:tmpl w:val="1F1CECC0"/>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87041BE"/>
    <w:multiLevelType w:val="multilevel"/>
    <w:tmpl w:val="C9E29CF4"/>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FB109D7"/>
    <w:multiLevelType w:val="multilevel"/>
    <w:tmpl w:val="3ACC0BD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63998368">
    <w:abstractNumId w:val="8"/>
  </w:num>
  <w:num w:numId="2" w16cid:durableId="216624248">
    <w:abstractNumId w:val="19"/>
  </w:num>
  <w:num w:numId="3" w16cid:durableId="2119177983">
    <w:abstractNumId w:val="13"/>
  </w:num>
  <w:num w:numId="4" w16cid:durableId="1806775570">
    <w:abstractNumId w:val="17"/>
  </w:num>
  <w:num w:numId="5" w16cid:durableId="1866284455">
    <w:abstractNumId w:val="18"/>
  </w:num>
  <w:num w:numId="6" w16cid:durableId="1326129954">
    <w:abstractNumId w:val="16"/>
  </w:num>
  <w:num w:numId="7" w16cid:durableId="118764021">
    <w:abstractNumId w:val="5"/>
  </w:num>
  <w:num w:numId="8" w16cid:durableId="633288503">
    <w:abstractNumId w:val="10"/>
  </w:num>
  <w:num w:numId="9" w16cid:durableId="1339118657">
    <w:abstractNumId w:val="0"/>
  </w:num>
  <w:num w:numId="10" w16cid:durableId="2080782544">
    <w:abstractNumId w:val="24"/>
  </w:num>
  <w:num w:numId="11" w16cid:durableId="241642369">
    <w:abstractNumId w:val="2"/>
  </w:num>
  <w:num w:numId="12" w16cid:durableId="687875968">
    <w:abstractNumId w:val="4"/>
  </w:num>
  <w:num w:numId="13" w16cid:durableId="1345131891">
    <w:abstractNumId w:val="21"/>
  </w:num>
  <w:num w:numId="14" w16cid:durableId="1648587696">
    <w:abstractNumId w:val="26"/>
  </w:num>
  <w:num w:numId="15" w16cid:durableId="53890994">
    <w:abstractNumId w:val="15"/>
  </w:num>
  <w:num w:numId="16" w16cid:durableId="544102271">
    <w:abstractNumId w:val="7"/>
  </w:num>
  <w:num w:numId="17" w16cid:durableId="1207062671">
    <w:abstractNumId w:val="12"/>
  </w:num>
  <w:num w:numId="18" w16cid:durableId="1549682888">
    <w:abstractNumId w:val="11"/>
  </w:num>
  <w:num w:numId="19" w16cid:durableId="58523866">
    <w:abstractNumId w:val="25"/>
  </w:num>
  <w:num w:numId="20" w16cid:durableId="1507283749">
    <w:abstractNumId w:val="23"/>
  </w:num>
  <w:num w:numId="21" w16cid:durableId="223368733">
    <w:abstractNumId w:val="3"/>
  </w:num>
  <w:num w:numId="22" w16cid:durableId="1853375364">
    <w:abstractNumId w:val="1"/>
  </w:num>
  <w:num w:numId="23" w16cid:durableId="355085066">
    <w:abstractNumId w:val="6"/>
  </w:num>
  <w:num w:numId="24" w16cid:durableId="2142072758">
    <w:abstractNumId w:val="9"/>
  </w:num>
  <w:num w:numId="25" w16cid:durableId="798574012">
    <w:abstractNumId w:val="14"/>
  </w:num>
  <w:num w:numId="26" w16cid:durableId="1892502425">
    <w:abstractNumId w:val="20"/>
  </w:num>
  <w:num w:numId="27" w16cid:durableId="2474707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5C5"/>
    <w:rsid w:val="00026E72"/>
    <w:rsid w:val="00123EE5"/>
    <w:rsid w:val="004F1689"/>
    <w:rsid w:val="006A55C5"/>
    <w:rsid w:val="006D21CB"/>
    <w:rsid w:val="0072158C"/>
    <w:rsid w:val="00754AEF"/>
    <w:rsid w:val="009C3E20"/>
    <w:rsid w:val="00A973BE"/>
    <w:rsid w:val="00AC29AD"/>
    <w:rsid w:val="00F368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A576B"/>
  <w15:chartTrackingRefBased/>
  <w15:docId w15:val="{3880BCB2-F16C-4D4A-ABD4-AC1C2FFA6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55C5"/>
    <w:pPr>
      <w:widowControl w:val="0"/>
      <w:suppressAutoHyphens/>
      <w:spacing w:after="0" w:line="240" w:lineRule="auto"/>
    </w:pPr>
    <w:rPr>
      <w:rFonts w:ascii="Times New Roman" w:eastAsia="Times New Roman" w:hAnsi="Times New Roman" w:cs="Times New Roman"/>
      <w:kern w:val="0"/>
      <w:sz w:val="22"/>
      <w:szCs w:val="22"/>
      <w:lang w:val="lt" w:eastAsia="lt"/>
      <w14:ligatures w14:val="none"/>
    </w:rPr>
  </w:style>
  <w:style w:type="paragraph" w:styleId="Antrat1">
    <w:name w:val="heading 1"/>
    <w:basedOn w:val="prastasis"/>
    <w:next w:val="prastasis"/>
    <w:link w:val="Antrat1Diagrama"/>
    <w:uiPriority w:val="9"/>
    <w:qFormat/>
    <w:rsid w:val="006A5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A5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A55C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A55C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A55C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A55C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A55C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A55C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A55C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A55C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A55C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A55C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A55C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A55C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A55C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A55C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A55C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A55C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A55C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A55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A55C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A55C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55C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A55C5"/>
    <w:rPr>
      <w:i/>
      <w:iCs/>
      <w:color w:val="404040" w:themeColor="text1" w:themeTint="BF"/>
    </w:rPr>
  </w:style>
  <w:style w:type="paragraph" w:styleId="Sraopastraipa">
    <w:name w:val="List Paragraph"/>
    <w:basedOn w:val="prastasis"/>
    <w:uiPriority w:val="34"/>
    <w:qFormat/>
    <w:rsid w:val="006A55C5"/>
    <w:pPr>
      <w:ind w:left="720"/>
      <w:contextualSpacing/>
    </w:pPr>
  </w:style>
  <w:style w:type="character" w:styleId="Rykuspabraukimas">
    <w:name w:val="Intense Emphasis"/>
    <w:basedOn w:val="Numatytasispastraiposriftas"/>
    <w:uiPriority w:val="21"/>
    <w:qFormat/>
    <w:rsid w:val="006A55C5"/>
    <w:rPr>
      <w:i/>
      <w:iCs/>
      <w:color w:val="0F4761" w:themeColor="accent1" w:themeShade="BF"/>
    </w:rPr>
  </w:style>
  <w:style w:type="paragraph" w:styleId="Iskirtacitata">
    <w:name w:val="Intense Quote"/>
    <w:basedOn w:val="prastasis"/>
    <w:next w:val="prastasis"/>
    <w:link w:val="IskirtacitataDiagrama"/>
    <w:uiPriority w:val="30"/>
    <w:qFormat/>
    <w:rsid w:val="006A5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A55C5"/>
    <w:rPr>
      <w:i/>
      <w:iCs/>
      <w:color w:val="0F4761" w:themeColor="accent1" w:themeShade="BF"/>
    </w:rPr>
  </w:style>
  <w:style w:type="character" w:styleId="Rykinuoroda">
    <w:name w:val="Intense Reference"/>
    <w:basedOn w:val="Numatytasispastraiposriftas"/>
    <w:uiPriority w:val="32"/>
    <w:qFormat/>
    <w:rsid w:val="006A55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20" ma:contentTypeDescription="Kurkite naują dokumentą." ma:contentTypeScope="" ma:versionID="4eb6ff5240d22c571e6b656f8de59e76">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d40218184813a0dc5fcd7d032ed012fa"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a" ma:index="27"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kto_x0020_kodas xmlns="42e2f785-b948-413e-8a5e-4c73c285acd7" xsi:nil="true"/>
    <lcf76f155ced4ddcb4097134ff3c332f xmlns="42e2f785-b948-413e-8a5e-4c73c285acd7">
      <Terms xmlns="http://schemas.microsoft.com/office/infopath/2007/PartnerControls"/>
    </lcf76f155ced4ddcb4097134ff3c332f>
    <TaxCatchAll xmlns="e31ee299-cf4d-48b9-8cec-049f1e2a5307" xsi:nil="true"/>
    <Data xmlns="42e2f785-b948-413e-8a5e-4c73c285acd7" xsi:nil="true"/>
  </documentManagement>
</p:properties>
</file>

<file path=customXml/itemProps1.xml><?xml version="1.0" encoding="utf-8"?>
<ds:datastoreItem xmlns:ds="http://schemas.openxmlformats.org/officeDocument/2006/customXml" ds:itemID="{2CCDB801-CEEE-4B09-AB6C-4E3B9883C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3ADFFC-3CA5-4288-BAC6-78A9C6449567}">
  <ds:schemaRefs>
    <ds:schemaRef ds:uri="http://schemas.microsoft.com/sharepoint/v3/contenttype/forms"/>
  </ds:schemaRefs>
</ds:datastoreItem>
</file>

<file path=customXml/itemProps3.xml><?xml version="1.0" encoding="utf-8"?>
<ds:datastoreItem xmlns:ds="http://schemas.openxmlformats.org/officeDocument/2006/customXml" ds:itemID="{CAD1D567-F0DB-4B53-85E1-B2F4DB6055A4}">
  <ds:schemaRefs>
    <ds:schemaRef ds:uri="http://schemas.microsoft.com/office/infopath/2007/PartnerControls"/>
    <ds:schemaRef ds:uri="http://www.w3.org/XML/1998/namespac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terms/"/>
    <ds:schemaRef ds:uri="http://purl.org/dc/dcmitype/"/>
    <ds:schemaRef ds:uri="42e2f785-b948-413e-8a5e-4c73c285acd7"/>
    <ds:schemaRef ds:uri="e31ee299-cf4d-48b9-8cec-049f1e2a530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879</Words>
  <Characters>5013</Characters>
  <Application>Microsoft Office Word</Application>
  <DocSecurity>0</DocSecurity>
  <Lines>41</Lines>
  <Paragraphs>11</Paragraphs>
  <ScaleCrop>false</ScaleCrop>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RIMKUVIENĖ, Asta | Turto Bankas</dc:creator>
  <cp:keywords/>
  <dc:description/>
  <cp:lastModifiedBy>PORCHUN, Sergej | Turto Bankas</cp:lastModifiedBy>
  <cp:revision>8</cp:revision>
  <dcterms:created xsi:type="dcterms:W3CDTF">2025-02-10T12:38:00Z</dcterms:created>
  <dcterms:modified xsi:type="dcterms:W3CDTF">2025-03-13T08:17:00Z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