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0A" w:rsidRDefault="005D180A" w:rsidP="005D180A">
      <w:pPr>
        <w:pStyle w:val="Heading1"/>
      </w:pPr>
      <w:r>
        <w:rPr>
          <w:i/>
        </w:rPr>
        <w:t>Vitros</w:t>
      </w:r>
      <w:r>
        <w:t xml:space="preserve"> AST reagentai</w:t>
      </w:r>
    </w:p>
    <w:p w:rsidR="005D180A" w:rsidRDefault="005D180A" w:rsidP="005D180A">
      <w:pPr>
        <w:rPr>
          <w:b/>
          <w:sz w:val="32"/>
        </w:rPr>
      </w:pPr>
    </w:p>
    <w:p w:rsidR="005D180A" w:rsidRDefault="005D180A" w:rsidP="005D180A">
      <w:pPr>
        <w:pStyle w:val="Heading2"/>
      </w:pPr>
      <w:r>
        <w:t>Aspartatinės aminotransferazės analizė</w:t>
      </w:r>
    </w:p>
    <w:p w:rsidR="005D180A" w:rsidRDefault="005D180A" w:rsidP="005D180A"/>
    <w:p w:rsidR="005D180A" w:rsidRDefault="005D180A" w:rsidP="005D180A">
      <w:pPr>
        <w:ind w:firstLine="720"/>
        <w:rPr>
          <w:sz w:val="20"/>
        </w:rPr>
      </w:pPr>
      <w:r>
        <w:rPr>
          <w:sz w:val="20"/>
        </w:rPr>
        <w:t xml:space="preserve">Tai sausos chemijos daugiasluoksnis reagentas AST nustatymui serume arba plazmoje. Šio parametro nustatymo pagrindas – eilė reakcijų, kurių rezultatas – spalvinis kompleksas. Spalvos intensyvumas proporcingas AST koncentracijai serume. </w:t>
      </w:r>
    </w:p>
    <w:p w:rsidR="005D180A" w:rsidRDefault="005D180A" w:rsidP="005D180A">
      <w:pPr>
        <w:rPr>
          <w:sz w:val="20"/>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268"/>
        <w:gridCol w:w="7371"/>
      </w:tblGrid>
      <w:tr w:rsidR="005D180A" w:rsidTr="00026981">
        <w:tblPrEx>
          <w:tblCellMar>
            <w:top w:w="0" w:type="dxa"/>
            <w:bottom w:w="0" w:type="dxa"/>
          </w:tblCellMar>
        </w:tblPrEx>
        <w:tc>
          <w:tcPr>
            <w:tcW w:w="2268" w:type="dxa"/>
          </w:tcPr>
          <w:p w:rsidR="005D180A" w:rsidRDefault="005D180A" w:rsidP="00026981">
            <w:pPr>
              <w:rPr>
                <w:sz w:val="20"/>
              </w:rPr>
            </w:pPr>
            <w:r>
              <w:rPr>
                <w:sz w:val="20"/>
              </w:rPr>
              <w:t>Reakcijos principas:</w:t>
            </w:r>
          </w:p>
        </w:tc>
        <w:tc>
          <w:tcPr>
            <w:tcW w:w="7371" w:type="dxa"/>
          </w:tcPr>
          <w:p w:rsidR="005D180A" w:rsidRDefault="005D180A" w:rsidP="00026981">
            <w:pPr>
              <w:rPr>
                <w:sz w:val="20"/>
              </w:rPr>
            </w:pPr>
            <w:r>
              <w:rPr>
                <w:sz w:val="20"/>
              </w:rPr>
              <w:t xml:space="preserve">                                                            AST</w:t>
            </w:r>
          </w:p>
          <w:p w:rsidR="005D180A" w:rsidRDefault="005D180A" w:rsidP="00026981">
            <w:pPr>
              <w:rPr>
                <w:sz w:val="20"/>
              </w:rPr>
            </w:pPr>
            <w:r>
              <w:rPr>
                <w:sz w:val="20"/>
              </w:rPr>
              <w:t xml:space="preserve">Aspartatas  + </w:t>
            </w:r>
            <w:r>
              <w:rPr>
                <w:sz w:val="20"/>
              </w:rPr>
              <w:sym w:font="Symbol" w:char="F061"/>
            </w:r>
            <w:r>
              <w:rPr>
                <w:sz w:val="20"/>
              </w:rPr>
              <w:t xml:space="preserve">-Ketogliutaratas </w:t>
            </w:r>
            <w:r>
              <w:rPr>
                <w:sz w:val="20"/>
              </w:rPr>
              <w:sym w:font="Symbol" w:char="F0BE"/>
            </w:r>
            <w:r>
              <w:rPr>
                <w:sz w:val="20"/>
              </w:rPr>
              <w:sym w:font="Symbol" w:char="F0BE"/>
            </w:r>
            <w:r>
              <w:rPr>
                <w:sz w:val="20"/>
              </w:rPr>
              <w:sym w:font="Symbol" w:char="F0BE"/>
            </w:r>
            <w:r>
              <w:rPr>
                <w:sz w:val="20"/>
              </w:rPr>
              <w:sym w:font="Symbol" w:char="F0BE"/>
            </w:r>
            <w:r>
              <w:rPr>
                <w:sz w:val="20"/>
              </w:rPr>
              <w:sym w:font="Symbol" w:char="F0AE"/>
            </w:r>
            <w:r>
              <w:rPr>
                <w:sz w:val="20"/>
              </w:rPr>
              <w:t xml:space="preserve"> Oksaloacetatas + Gliutamatas</w:t>
            </w:r>
          </w:p>
          <w:p w:rsidR="005D180A" w:rsidRDefault="005D180A" w:rsidP="00026981">
            <w:pPr>
              <w:rPr>
                <w:sz w:val="20"/>
              </w:rPr>
            </w:pPr>
            <w:r>
              <w:rPr>
                <w:sz w:val="20"/>
              </w:rPr>
              <w:t xml:space="preserve">                                                           P-5-P</w:t>
            </w:r>
          </w:p>
          <w:p w:rsidR="005D180A" w:rsidRDefault="005D180A" w:rsidP="00026981">
            <w:pPr>
              <w:rPr>
                <w:sz w:val="20"/>
              </w:rPr>
            </w:pPr>
            <w:r>
              <w:rPr>
                <w:sz w:val="20"/>
              </w:rPr>
              <w:tab/>
            </w:r>
            <w:r>
              <w:rPr>
                <w:sz w:val="20"/>
              </w:rPr>
              <w:tab/>
              <w:t>Oksaloacetato dekarboksilazė</w:t>
            </w:r>
          </w:p>
          <w:p w:rsidR="005D180A" w:rsidRPr="00B2013C" w:rsidRDefault="005D180A" w:rsidP="00026981">
            <w:pPr>
              <w:rPr>
                <w:sz w:val="20"/>
              </w:rPr>
            </w:pPr>
            <w:r>
              <w:rPr>
                <w:sz w:val="20"/>
              </w:rPr>
              <w:t>Oksaloacetatas –––––––––––––––––––––––––</w:t>
            </w:r>
            <w:r>
              <w:rPr>
                <w:sz w:val="20"/>
              </w:rPr>
              <w:sym w:font="Symbol" w:char="F0AE"/>
            </w:r>
            <w:r>
              <w:rPr>
                <w:sz w:val="20"/>
              </w:rPr>
              <w:t xml:space="preserve"> piruvatas + CO</w:t>
            </w:r>
            <w:r w:rsidRPr="00B2013C">
              <w:rPr>
                <w:sz w:val="20"/>
                <w:vertAlign w:val="subscript"/>
              </w:rPr>
              <w:t>2</w:t>
            </w:r>
          </w:p>
          <w:p w:rsidR="005D180A" w:rsidRDefault="005D180A" w:rsidP="00026981">
            <w:pPr>
              <w:rPr>
                <w:sz w:val="20"/>
              </w:rPr>
            </w:pPr>
            <w:r>
              <w:rPr>
                <w:sz w:val="20"/>
              </w:rPr>
              <w:tab/>
            </w:r>
            <w:r>
              <w:rPr>
                <w:sz w:val="20"/>
              </w:rPr>
              <w:tab/>
            </w:r>
            <w:r>
              <w:rPr>
                <w:sz w:val="20"/>
              </w:rPr>
              <w:tab/>
              <w:t xml:space="preserve">  Piruvato oksidazė</w:t>
            </w:r>
          </w:p>
          <w:p w:rsidR="005D180A" w:rsidRDefault="005D180A" w:rsidP="00026981">
            <w:pPr>
              <w:rPr>
                <w:sz w:val="20"/>
                <w:lang w:val="en-US"/>
              </w:rPr>
            </w:pPr>
            <w:proofErr w:type="spellStart"/>
            <w:r>
              <w:rPr>
                <w:sz w:val="20"/>
                <w:lang w:val="en-US"/>
              </w:rPr>
              <w:t>Piruvatas</w:t>
            </w:r>
            <w:proofErr w:type="spellEnd"/>
            <w:r>
              <w:rPr>
                <w:sz w:val="20"/>
                <w:lang w:val="en-US"/>
              </w:rPr>
              <w:t xml:space="preserve"> + </w:t>
            </w:r>
            <w:proofErr w:type="spellStart"/>
            <w:r>
              <w:rPr>
                <w:sz w:val="20"/>
                <w:lang w:val="en-US"/>
              </w:rPr>
              <w:t>fosfatas</w:t>
            </w:r>
            <w:proofErr w:type="spellEnd"/>
            <w:r>
              <w:rPr>
                <w:sz w:val="20"/>
                <w:lang w:val="en-US"/>
              </w:rPr>
              <w:t xml:space="preserve"> + O</w:t>
            </w:r>
            <w:r>
              <w:rPr>
                <w:sz w:val="20"/>
                <w:vertAlign w:val="subscript"/>
                <w:lang w:val="en-US"/>
              </w:rPr>
              <w:t>2</w:t>
            </w:r>
            <w:r>
              <w:rPr>
                <w:sz w:val="20"/>
                <w:lang w:val="en-US"/>
              </w:rPr>
              <w:t xml:space="preserve"> ————————</w:t>
            </w:r>
            <w:r>
              <w:rPr>
                <w:sz w:val="20"/>
                <w:lang w:val="en-US"/>
              </w:rPr>
              <w:sym w:font="Symbol" w:char="F0AE"/>
            </w:r>
            <w:r>
              <w:rPr>
                <w:sz w:val="20"/>
                <w:lang w:val="en-US"/>
              </w:rPr>
              <w:t xml:space="preserve"> </w:t>
            </w:r>
            <w:proofErr w:type="spellStart"/>
            <w:r>
              <w:rPr>
                <w:sz w:val="20"/>
                <w:lang w:val="en-US"/>
              </w:rPr>
              <w:t>vandenilio</w:t>
            </w:r>
            <w:proofErr w:type="spellEnd"/>
            <w:r>
              <w:rPr>
                <w:sz w:val="20"/>
                <w:lang w:val="en-US"/>
              </w:rPr>
              <w:t xml:space="preserve"> </w:t>
            </w:r>
            <w:proofErr w:type="spellStart"/>
            <w:r>
              <w:rPr>
                <w:sz w:val="20"/>
                <w:lang w:val="en-US"/>
              </w:rPr>
              <w:t>peroksidas</w:t>
            </w:r>
            <w:proofErr w:type="spellEnd"/>
            <w:r>
              <w:rPr>
                <w:sz w:val="20"/>
                <w:lang w:val="en-US"/>
              </w:rPr>
              <w:t xml:space="preserve"> + </w:t>
            </w:r>
            <w:proofErr w:type="spellStart"/>
            <w:r>
              <w:rPr>
                <w:sz w:val="20"/>
                <w:lang w:val="en-US"/>
              </w:rPr>
              <w:t>acetilfosfatas</w:t>
            </w:r>
            <w:proofErr w:type="spellEnd"/>
          </w:p>
          <w:p w:rsidR="005D180A" w:rsidRDefault="005D180A" w:rsidP="00026981">
            <w:pPr>
              <w:rPr>
                <w:sz w:val="20"/>
              </w:rPr>
            </w:pPr>
          </w:p>
          <w:p w:rsidR="005D180A" w:rsidRDefault="005D180A" w:rsidP="00026981">
            <w:pPr>
              <w:rPr>
                <w:sz w:val="20"/>
              </w:rPr>
            </w:pPr>
            <w:r>
              <w:rPr>
                <w:sz w:val="20"/>
              </w:rPr>
              <w:tab/>
            </w:r>
            <w:r>
              <w:rPr>
                <w:sz w:val="20"/>
              </w:rPr>
              <w:tab/>
            </w:r>
            <w:r>
              <w:rPr>
                <w:sz w:val="20"/>
              </w:rPr>
              <w:tab/>
            </w:r>
            <w:r>
              <w:rPr>
                <w:sz w:val="20"/>
              </w:rPr>
              <w:tab/>
            </w:r>
            <w:r>
              <w:rPr>
                <w:sz w:val="20"/>
              </w:rPr>
              <w:tab/>
              <w:t>peroksidazė</w:t>
            </w:r>
          </w:p>
          <w:p w:rsidR="005D180A" w:rsidRDefault="005D180A" w:rsidP="00026981">
            <w:pPr>
              <w:rPr>
                <w:sz w:val="20"/>
              </w:rPr>
            </w:pPr>
            <w:r>
              <w:rPr>
                <w:sz w:val="20"/>
              </w:rPr>
              <w:t xml:space="preserve">Vandenilio peroksidas + leuko dažai </w:t>
            </w:r>
            <w:r>
              <w:rPr>
                <w:sz w:val="20"/>
              </w:rPr>
              <w:sym w:font="Symbol" w:char="F0BE"/>
            </w:r>
            <w:r>
              <w:rPr>
                <w:sz w:val="20"/>
              </w:rPr>
              <w:sym w:font="Symbol" w:char="F0BE"/>
            </w:r>
            <w:r>
              <w:rPr>
                <w:sz w:val="20"/>
              </w:rPr>
              <w:t>——</w:t>
            </w:r>
            <w:r>
              <w:rPr>
                <w:sz w:val="20"/>
              </w:rPr>
              <w:sym w:font="Symbol" w:char="F0BE"/>
            </w:r>
            <w:r>
              <w:rPr>
                <w:sz w:val="20"/>
              </w:rPr>
              <w:sym w:font="Symbol" w:char="F0BE"/>
            </w:r>
            <w:r>
              <w:rPr>
                <w:sz w:val="20"/>
              </w:rPr>
              <w:t>——</w:t>
            </w:r>
            <w:r>
              <w:rPr>
                <w:sz w:val="20"/>
              </w:rPr>
              <w:sym w:font="Symbol" w:char="F0BE"/>
            </w:r>
            <w:r>
              <w:rPr>
                <w:sz w:val="20"/>
              </w:rPr>
              <w:sym w:font="Symbol" w:char="F0AE"/>
            </w:r>
            <w:r>
              <w:rPr>
                <w:sz w:val="20"/>
              </w:rPr>
              <w:t xml:space="preserve"> Dažai</w:t>
            </w:r>
          </w:p>
          <w:p w:rsidR="005D180A" w:rsidRDefault="005D180A" w:rsidP="00026981">
            <w:pPr>
              <w:rPr>
                <w:sz w:val="20"/>
              </w:rPr>
            </w:pPr>
          </w:p>
        </w:tc>
      </w:tr>
    </w:tbl>
    <w:p w:rsidR="005D180A" w:rsidRDefault="005D180A" w:rsidP="005D180A">
      <w:pPr>
        <w:rPr>
          <w:sz w:val="20"/>
        </w:rPr>
      </w:pPr>
    </w:p>
    <w:p w:rsidR="005D180A" w:rsidRDefault="005D180A" w:rsidP="005D180A">
      <w:pPr>
        <w:rPr>
          <w:sz w:val="20"/>
        </w:rPr>
      </w:pPr>
      <w:r>
        <w:rPr>
          <w:b/>
          <w:sz w:val="20"/>
        </w:rPr>
        <w:t xml:space="preserve">Klinikinė reikšmė: </w:t>
      </w:r>
      <w:r>
        <w:rPr>
          <w:sz w:val="20"/>
        </w:rPr>
        <w:t>Didelė aspartatinės aminotransferazės koncentracija randama širdyje, skersaruožiuose raumenyse ir kepenyse. Padidėjęs AST serume paprastai stebimas esant miokardo infarktui, plaučių embolitui, skersaruožių raumenų traumai, alkoholinei cirozei, virusiniams hepatitams, ir vaistų sukeltiems hepatitams. Jei AST didesnė nei ALT, reiškia, kad yra žymūs kepenų pažeidimai.</w:t>
      </w:r>
    </w:p>
    <w:p w:rsidR="005D180A" w:rsidRDefault="005D180A" w:rsidP="005D180A">
      <w:pPr>
        <w:rPr>
          <w:sz w:val="20"/>
        </w:rPr>
      </w:pPr>
      <w:r>
        <w:rPr>
          <w:b/>
          <w:sz w:val="20"/>
        </w:rPr>
        <w:t>Tyrimo metodas:</w:t>
      </w:r>
      <w:r>
        <w:rPr>
          <w:sz w:val="20"/>
        </w:rPr>
        <w:t xml:space="preserve"> daugelio taškų kinetinis.</w:t>
      </w:r>
    </w:p>
    <w:p w:rsidR="005D180A" w:rsidRDefault="005D180A" w:rsidP="005D180A">
      <w:pPr>
        <w:rPr>
          <w:sz w:val="20"/>
        </w:rPr>
      </w:pPr>
      <w:r>
        <w:rPr>
          <w:b/>
          <w:sz w:val="20"/>
        </w:rPr>
        <w:t>Mėginys:</w:t>
      </w:r>
      <w:r>
        <w:rPr>
          <w:sz w:val="20"/>
        </w:rPr>
        <w:t xml:space="preserve"> Serumas; heparino plazma.</w:t>
      </w:r>
    </w:p>
    <w:p w:rsidR="005D180A" w:rsidRDefault="005D180A" w:rsidP="005D180A">
      <w:pPr>
        <w:rPr>
          <w:sz w:val="20"/>
        </w:rPr>
      </w:pPr>
      <w:r>
        <w:rPr>
          <w:b/>
          <w:sz w:val="20"/>
        </w:rPr>
        <w:t>Reagentai:</w:t>
      </w:r>
      <w:r>
        <w:rPr>
          <w:sz w:val="20"/>
        </w:rPr>
        <w:t xml:space="preserve"> Natrio aspartatas, natrio </w:t>
      </w:r>
      <w:r>
        <w:rPr>
          <w:sz w:val="20"/>
        </w:rPr>
        <w:sym w:font="Symbol" w:char="F061"/>
      </w:r>
      <w:r>
        <w:rPr>
          <w:sz w:val="20"/>
        </w:rPr>
        <w:t>-ketoglutaratas, natrio pyridoksal-5-fosfatas, natrio fosfatas, imidazolo dažai.</w:t>
      </w:r>
    </w:p>
    <w:p w:rsidR="005D180A" w:rsidRDefault="005D180A" w:rsidP="005D180A">
      <w:pPr>
        <w:rPr>
          <w:sz w:val="20"/>
        </w:rPr>
      </w:pPr>
      <w:r>
        <w:rPr>
          <w:b/>
          <w:sz w:val="20"/>
        </w:rPr>
        <w:t>Matavimo vienetai:</w:t>
      </w:r>
      <w:r>
        <w:rPr>
          <w:sz w:val="20"/>
        </w:rPr>
        <w:t xml:space="preserve"> U/L.</w:t>
      </w:r>
    </w:p>
    <w:p w:rsidR="005D180A" w:rsidRDefault="005D180A" w:rsidP="005D180A">
      <w:pPr>
        <w:rPr>
          <w:sz w:val="20"/>
        </w:rPr>
      </w:pPr>
      <w:r>
        <w:rPr>
          <w:b/>
          <w:sz w:val="20"/>
        </w:rPr>
        <w:t>Bangos ilgis:</w:t>
      </w:r>
      <w:r>
        <w:rPr>
          <w:sz w:val="20"/>
        </w:rPr>
        <w:t xml:space="preserve"> 670 nm.</w:t>
      </w:r>
    </w:p>
    <w:p w:rsidR="005D180A" w:rsidRDefault="005D180A" w:rsidP="005D180A">
      <w:pPr>
        <w:rPr>
          <w:sz w:val="20"/>
        </w:rPr>
      </w:pPr>
      <w:r>
        <w:rPr>
          <w:b/>
          <w:sz w:val="20"/>
        </w:rPr>
        <w:t>Tyrimo laikas:</w:t>
      </w:r>
      <w:r>
        <w:rPr>
          <w:sz w:val="20"/>
        </w:rPr>
        <w:t xml:space="preserve"> apie 5 min.</w:t>
      </w:r>
    </w:p>
    <w:p w:rsidR="005D180A" w:rsidRDefault="005D180A" w:rsidP="005D180A">
      <w:pPr>
        <w:rPr>
          <w:sz w:val="20"/>
        </w:rPr>
      </w:pPr>
      <w:r>
        <w:rPr>
          <w:b/>
          <w:sz w:val="20"/>
        </w:rPr>
        <w:t>Inkubatoriaus temperatūra:</w:t>
      </w:r>
      <w:r>
        <w:rPr>
          <w:sz w:val="20"/>
        </w:rPr>
        <w:t xml:space="preserve"> 37 </w:t>
      </w:r>
      <w:r>
        <w:rPr>
          <w:sz w:val="20"/>
        </w:rPr>
        <w:sym w:font="Symbol" w:char="F0B0"/>
      </w:r>
      <w:r>
        <w:rPr>
          <w:sz w:val="20"/>
        </w:rPr>
        <w:t>C.</w:t>
      </w:r>
    </w:p>
    <w:p w:rsidR="005D180A" w:rsidRDefault="005D180A" w:rsidP="005D180A">
      <w:pPr>
        <w:rPr>
          <w:sz w:val="20"/>
        </w:rPr>
      </w:pPr>
      <w:r>
        <w:rPr>
          <w:b/>
          <w:sz w:val="20"/>
        </w:rPr>
        <w:t>Analizatoriaus ribos:</w:t>
      </w:r>
      <w:r>
        <w:rPr>
          <w:sz w:val="20"/>
        </w:rPr>
        <w:t xml:space="preserve"> 3 - 750 U/L.</w:t>
      </w:r>
    </w:p>
    <w:p w:rsidR="005D180A" w:rsidRDefault="005D180A" w:rsidP="005D180A">
      <w:pPr>
        <w:rPr>
          <w:b/>
          <w:sz w:val="20"/>
        </w:rPr>
      </w:pPr>
      <w:r>
        <w:rPr>
          <w:b/>
          <w:sz w:val="20"/>
        </w:rPr>
        <w:t xml:space="preserve">Normos (tikėtinos reikšmės): </w:t>
      </w:r>
      <w:r>
        <w:rPr>
          <w:b/>
          <w:sz w:val="20"/>
        </w:rPr>
        <w:tab/>
      </w:r>
      <w:r>
        <w:rPr>
          <w:b/>
          <w:sz w:val="20"/>
        </w:rPr>
        <w:tab/>
      </w:r>
      <w:r>
        <w:rPr>
          <w:b/>
          <w:sz w:val="20"/>
        </w:rPr>
        <w:tab/>
      </w:r>
      <w:r>
        <w:rPr>
          <w:sz w:val="20"/>
        </w:rPr>
        <w:t>Suaugusiems:</w:t>
      </w:r>
      <w:r>
        <w:rPr>
          <w:sz w:val="20"/>
        </w:rPr>
        <w:tab/>
        <w:t>15 – 46 U/L;</w:t>
      </w:r>
    </w:p>
    <w:p w:rsidR="005D180A" w:rsidRDefault="005D180A" w:rsidP="005D180A">
      <w:pPr>
        <w:ind w:left="3600" w:firstLine="720"/>
        <w:rPr>
          <w:sz w:val="20"/>
        </w:rPr>
      </w:pPr>
      <w:r>
        <w:rPr>
          <w:sz w:val="20"/>
        </w:rPr>
        <w:t>Vyrams</w:t>
      </w:r>
      <w:r>
        <w:rPr>
          <w:sz w:val="20"/>
        </w:rPr>
        <w:tab/>
      </w:r>
      <w:r>
        <w:rPr>
          <w:sz w:val="20"/>
        </w:rPr>
        <w:tab/>
        <w:t>17 - 59 U/L;</w:t>
      </w:r>
    </w:p>
    <w:p w:rsidR="005D180A" w:rsidRDefault="005D180A" w:rsidP="005D180A">
      <w:pPr>
        <w:rPr>
          <w:sz w:val="20"/>
        </w:rPr>
      </w:pPr>
      <w:r>
        <w:rPr>
          <w:sz w:val="20"/>
        </w:rPr>
        <w:tab/>
      </w:r>
      <w:r>
        <w:rPr>
          <w:sz w:val="20"/>
        </w:rPr>
        <w:tab/>
      </w:r>
      <w:r>
        <w:rPr>
          <w:sz w:val="20"/>
        </w:rPr>
        <w:tab/>
      </w:r>
      <w:r>
        <w:rPr>
          <w:sz w:val="20"/>
        </w:rPr>
        <w:tab/>
      </w:r>
      <w:r>
        <w:rPr>
          <w:sz w:val="20"/>
        </w:rPr>
        <w:tab/>
      </w:r>
      <w:r>
        <w:rPr>
          <w:sz w:val="20"/>
        </w:rPr>
        <w:tab/>
        <w:t>Moterims</w:t>
      </w:r>
      <w:r>
        <w:rPr>
          <w:sz w:val="20"/>
        </w:rPr>
        <w:tab/>
        <w:t>14 - 36 U/L.</w:t>
      </w:r>
    </w:p>
    <w:p w:rsidR="005D180A" w:rsidRDefault="005D180A" w:rsidP="005D180A">
      <w:pPr>
        <w:rPr>
          <w:sz w:val="20"/>
        </w:rPr>
      </w:pPr>
      <w:r>
        <w:rPr>
          <w:b/>
          <w:sz w:val="20"/>
        </w:rPr>
        <w:t>Reagentų laikymas ir paruošimas:</w:t>
      </w:r>
      <w:r>
        <w:rPr>
          <w:sz w:val="20"/>
        </w:rPr>
        <w:t xml:space="preserve"> kasetes su reagentais laikyti </w:t>
      </w:r>
      <w:r>
        <w:rPr>
          <w:b/>
          <w:sz w:val="20"/>
        </w:rPr>
        <w:t xml:space="preserve">-18 </w:t>
      </w:r>
      <w:r>
        <w:rPr>
          <w:b/>
          <w:sz w:val="20"/>
        </w:rPr>
        <w:sym w:font="Symbol" w:char="F0B0"/>
      </w:r>
      <w:r>
        <w:rPr>
          <w:b/>
          <w:sz w:val="20"/>
        </w:rPr>
        <w:t>C</w:t>
      </w:r>
      <w:r>
        <w:rPr>
          <w:sz w:val="20"/>
        </w:rPr>
        <w:t xml:space="preserve"> ar žemesnėje temperatūroje. Prieš naudojimą reagentus išimti iš šaldytuvo ir palaikyti kambario temperatūroje mažiausiai 60 min. Neišpakuotus ir nepanaudotus reagentus galima grąžinti į šaldiklį tolimesniam laikymui.</w:t>
      </w:r>
    </w:p>
    <w:p w:rsidR="005D180A" w:rsidRDefault="005D180A" w:rsidP="005D180A">
      <w:pPr>
        <w:rPr>
          <w:sz w:val="20"/>
        </w:rPr>
      </w:pPr>
      <w:r>
        <w:rPr>
          <w:sz w:val="20"/>
        </w:rPr>
        <w:t xml:space="preserve">Analizatoriuje reagentus laikyti ne ilgiau </w:t>
      </w:r>
      <w:r>
        <w:rPr>
          <w:b/>
          <w:sz w:val="20"/>
        </w:rPr>
        <w:t>2 savaičių</w:t>
      </w:r>
      <w:r>
        <w:rPr>
          <w:sz w:val="20"/>
        </w:rPr>
        <w:t>.</w:t>
      </w:r>
    </w:p>
    <w:p w:rsidR="005D180A" w:rsidRDefault="005D180A" w:rsidP="005D180A">
      <w:pPr>
        <w:rPr>
          <w:sz w:val="20"/>
        </w:rPr>
      </w:pPr>
      <w:r>
        <w:rPr>
          <w:b/>
          <w:sz w:val="20"/>
        </w:rPr>
        <w:t>Kalibratorius:</w:t>
      </w:r>
      <w:r>
        <w:rPr>
          <w:sz w:val="20"/>
        </w:rPr>
        <w:t xml:space="preserve"> </w:t>
      </w:r>
      <w:r>
        <w:rPr>
          <w:i/>
          <w:sz w:val="20"/>
        </w:rPr>
        <w:t>Vitros</w:t>
      </w:r>
      <w:r>
        <w:rPr>
          <w:sz w:val="20"/>
        </w:rPr>
        <w:t xml:space="preserve"> Chemistry Calibrator Kit </w:t>
      </w:r>
      <w:r>
        <w:rPr>
          <w:b/>
          <w:sz w:val="20"/>
        </w:rPr>
        <w:t>3</w:t>
      </w:r>
      <w:r>
        <w:rPr>
          <w:sz w:val="20"/>
        </w:rPr>
        <w:t>.</w:t>
      </w:r>
    </w:p>
    <w:p w:rsidR="005D180A" w:rsidRDefault="005D180A" w:rsidP="005D180A">
      <w:pPr>
        <w:rPr>
          <w:sz w:val="20"/>
        </w:rPr>
      </w:pPr>
      <w:r>
        <w:rPr>
          <w:b/>
          <w:sz w:val="20"/>
        </w:rPr>
        <w:t>Kokybės kontrolė:</w:t>
      </w:r>
      <w:r>
        <w:rPr>
          <w:sz w:val="20"/>
        </w:rPr>
        <w:t xml:space="preserve"> kokybės kontrolę rekomenduojama atlikti su </w:t>
      </w:r>
      <w:r>
        <w:rPr>
          <w:b/>
          <w:i/>
          <w:sz w:val="20"/>
        </w:rPr>
        <w:t>Vitros</w:t>
      </w:r>
      <w:r>
        <w:rPr>
          <w:b/>
          <w:sz w:val="20"/>
        </w:rPr>
        <w:t xml:space="preserve"> Performance Verifier</w:t>
      </w:r>
      <w:r>
        <w:rPr>
          <w:sz w:val="20"/>
        </w:rPr>
        <w:t xml:space="preserve"> kontroliniais rinkiniais.</w:t>
      </w:r>
    </w:p>
    <w:p w:rsidR="005D180A" w:rsidRDefault="005D180A" w:rsidP="005D180A">
      <w:pPr>
        <w:rPr>
          <w:sz w:val="20"/>
        </w:rPr>
      </w:pPr>
      <w:r>
        <w:rPr>
          <w:b/>
          <w:sz w:val="20"/>
        </w:rPr>
        <w:t>Skiedimas:</w:t>
      </w:r>
      <w:r>
        <w:rPr>
          <w:sz w:val="20"/>
        </w:rPr>
        <w:t xml:space="preserve"> Mėginius skiesti </w:t>
      </w:r>
      <w:r>
        <w:rPr>
          <w:b/>
          <w:i/>
          <w:sz w:val="20"/>
        </w:rPr>
        <w:t>Vitros</w:t>
      </w:r>
      <w:r>
        <w:rPr>
          <w:b/>
          <w:sz w:val="20"/>
        </w:rPr>
        <w:t xml:space="preserve"> 7</w:t>
      </w:r>
      <w:r>
        <w:rPr>
          <w:b/>
          <w:sz w:val="20"/>
        </w:rPr>
        <w:sym w:font="Symbol" w:char="F025"/>
      </w:r>
      <w:r>
        <w:rPr>
          <w:b/>
          <w:sz w:val="20"/>
        </w:rPr>
        <w:t xml:space="preserve"> BSA</w:t>
      </w:r>
      <w:r>
        <w:rPr>
          <w:sz w:val="20"/>
        </w:rPr>
        <w:t xml:space="preserve"> skiedikliu. Rekomenduojamas santykis 1:1.</w:t>
      </w:r>
    </w:p>
    <w:p w:rsidR="005D180A" w:rsidRDefault="005D180A" w:rsidP="005D180A">
      <w:pPr>
        <w:outlineLvl w:val="0"/>
        <w:rPr>
          <w:sz w:val="20"/>
        </w:rPr>
      </w:pPr>
      <w:r>
        <w:rPr>
          <w:b/>
          <w:sz w:val="20"/>
        </w:rPr>
        <w:t>Veikimo apribojimai:</w:t>
      </w:r>
    </w:p>
    <w:p w:rsidR="005D180A" w:rsidRDefault="005D180A" w:rsidP="005D180A">
      <w:pPr>
        <w:rPr>
          <w:sz w:val="20"/>
        </w:rPr>
      </w:pPr>
      <w:r>
        <w:rPr>
          <w:sz w:val="20"/>
        </w:rPr>
        <w:tab/>
        <w:t>Pastebėti šie interferentai, iškreipiantys matavimo rezultatus: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2463"/>
        <w:gridCol w:w="2463"/>
        <w:gridCol w:w="2358"/>
      </w:tblGrid>
      <w:tr w:rsidR="005D180A" w:rsidTr="00026981">
        <w:tblPrEx>
          <w:tblCellMar>
            <w:top w:w="0" w:type="dxa"/>
            <w:bottom w:w="0" w:type="dxa"/>
          </w:tblCellMar>
        </w:tblPrEx>
        <w:trPr>
          <w:jc w:val="center"/>
        </w:trPr>
        <w:tc>
          <w:tcPr>
            <w:tcW w:w="2355" w:type="dxa"/>
          </w:tcPr>
          <w:p w:rsidR="005D180A" w:rsidRDefault="005D180A" w:rsidP="00026981">
            <w:pPr>
              <w:rPr>
                <w:sz w:val="20"/>
              </w:rPr>
            </w:pPr>
            <w:r>
              <w:rPr>
                <w:sz w:val="20"/>
              </w:rPr>
              <w:t>Interferentas</w:t>
            </w:r>
          </w:p>
        </w:tc>
        <w:tc>
          <w:tcPr>
            <w:tcW w:w="2463" w:type="dxa"/>
          </w:tcPr>
          <w:p w:rsidR="005D180A" w:rsidRDefault="005D180A" w:rsidP="00026981">
            <w:pPr>
              <w:rPr>
                <w:sz w:val="20"/>
              </w:rPr>
            </w:pPr>
            <w:r>
              <w:rPr>
                <w:sz w:val="20"/>
              </w:rPr>
              <w:t>Interferento koncentracija</w:t>
            </w:r>
          </w:p>
        </w:tc>
        <w:tc>
          <w:tcPr>
            <w:tcW w:w="2463" w:type="dxa"/>
          </w:tcPr>
          <w:p w:rsidR="005D180A" w:rsidRDefault="005D180A" w:rsidP="00026981">
            <w:pPr>
              <w:rPr>
                <w:sz w:val="20"/>
              </w:rPr>
            </w:pPr>
            <w:r>
              <w:rPr>
                <w:sz w:val="20"/>
              </w:rPr>
              <w:t>Analitės koncentracija</w:t>
            </w:r>
          </w:p>
        </w:tc>
        <w:tc>
          <w:tcPr>
            <w:tcW w:w="2358" w:type="dxa"/>
          </w:tcPr>
          <w:p w:rsidR="005D180A" w:rsidRDefault="005D180A" w:rsidP="00026981">
            <w:pPr>
              <w:rPr>
                <w:sz w:val="20"/>
              </w:rPr>
            </w:pPr>
            <w:r>
              <w:rPr>
                <w:sz w:val="20"/>
              </w:rPr>
              <w:t>Nuokrypis</w:t>
            </w:r>
          </w:p>
        </w:tc>
      </w:tr>
      <w:tr w:rsidR="005D180A" w:rsidTr="00026981">
        <w:tblPrEx>
          <w:tblCellMar>
            <w:top w:w="0" w:type="dxa"/>
            <w:bottom w:w="0" w:type="dxa"/>
          </w:tblCellMar>
        </w:tblPrEx>
        <w:trPr>
          <w:jc w:val="center"/>
        </w:trPr>
        <w:tc>
          <w:tcPr>
            <w:tcW w:w="2355" w:type="dxa"/>
          </w:tcPr>
          <w:p w:rsidR="005D180A" w:rsidRDefault="005D180A" w:rsidP="00026981">
            <w:pPr>
              <w:rPr>
                <w:sz w:val="20"/>
              </w:rPr>
            </w:pPr>
            <w:r>
              <w:rPr>
                <w:sz w:val="20"/>
              </w:rPr>
              <w:t>Tolazamidas</w:t>
            </w:r>
          </w:p>
        </w:tc>
        <w:tc>
          <w:tcPr>
            <w:tcW w:w="2463" w:type="dxa"/>
          </w:tcPr>
          <w:p w:rsidR="005D180A" w:rsidRDefault="005D180A" w:rsidP="00026981">
            <w:pPr>
              <w:rPr>
                <w:sz w:val="20"/>
              </w:rPr>
            </w:pPr>
            <w:r>
              <w:rPr>
                <w:sz w:val="20"/>
              </w:rPr>
              <w:t>1.7 mmol/L</w:t>
            </w:r>
          </w:p>
        </w:tc>
        <w:tc>
          <w:tcPr>
            <w:tcW w:w="2463" w:type="dxa"/>
          </w:tcPr>
          <w:p w:rsidR="005D180A" w:rsidRDefault="005D180A" w:rsidP="00026981">
            <w:pPr>
              <w:rPr>
                <w:sz w:val="20"/>
              </w:rPr>
            </w:pPr>
            <w:r>
              <w:rPr>
                <w:sz w:val="20"/>
              </w:rPr>
              <w:t>25 U/L</w:t>
            </w:r>
          </w:p>
        </w:tc>
        <w:tc>
          <w:tcPr>
            <w:tcW w:w="2358" w:type="dxa"/>
          </w:tcPr>
          <w:p w:rsidR="005D180A" w:rsidRDefault="005D180A" w:rsidP="00026981">
            <w:pPr>
              <w:rPr>
                <w:sz w:val="20"/>
              </w:rPr>
            </w:pPr>
            <w:r>
              <w:rPr>
                <w:sz w:val="20"/>
              </w:rPr>
              <w:t>-11 U/L</w:t>
            </w:r>
          </w:p>
        </w:tc>
      </w:tr>
      <w:tr w:rsidR="005D180A" w:rsidTr="00026981">
        <w:tblPrEx>
          <w:tblCellMar>
            <w:top w:w="0" w:type="dxa"/>
            <w:bottom w:w="0" w:type="dxa"/>
          </w:tblCellMar>
        </w:tblPrEx>
        <w:trPr>
          <w:jc w:val="center"/>
        </w:trPr>
        <w:tc>
          <w:tcPr>
            <w:tcW w:w="2355" w:type="dxa"/>
          </w:tcPr>
          <w:p w:rsidR="005D180A" w:rsidRDefault="005D180A" w:rsidP="00026981">
            <w:pPr>
              <w:rPr>
                <w:sz w:val="20"/>
              </w:rPr>
            </w:pPr>
            <w:r>
              <w:rPr>
                <w:sz w:val="20"/>
              </w:rPr>
              <w:t>N-acetilcisteinas</w:t>
            </w:r>
          </w:p>
        </w:tc>
        <w:tc>
          <w:tcPr>
            <w:tcW w:w="2463" w:type="dxa"/>
          </w:tcPr>
          <w:p w:rsidR="005D180A" w:rsidRDefault="005D180A" w:rsidP="00026981">
            <w:pPr>
              <w:rPr>
                <w:sz w:val="20"/>
              </w:rPr>
            </w:pPr>
            <w:r>
              <w:rPr>
                <w:sz w:val="20"/>
              </w:rPr>
              <w:t>13.0 mmol/L</w:t>
            </w:r>
          </w:p>
        </w:tc>
        <w:tc>
          <w:tcPr>
            <w:tcW w:w="2463" w:type="dxa"/>
          </w:tcPr>
          <w:p w:rsidR="005D180A" w:rsidRDefault="005D180A" w:rsidP="00026981">
            <w:pPr>
              <w:rPr>
                <w:sz w:val="20"/>
              </w:rPr>
            </w:pPr>
            <w:r>
              <w:rPr>
                <w:sz w:val="20"/>
              </w:rPr>
              <w:t>25 U/L</w:t>
            </w:r>
          </w:p>
        </w:tc>
        <w:tc>
          <w:tcPr>
            <w:tcW w:w="2358" w:type="dxa"/>
          </w:tcPr>
          <w:p w:rsidR="005D180A" w:rsidRDefault="005D180A" w:rsidP="00026981">
            <w:pPr>
              <w:rPr>
                <w:sz w:val="20"/>
              </w:rPr>
            </w:pPr>
            <w:r>
              <w:rPr>
                <w:sz w:val="20"/>
              </w:rPr>
              <w:t>-6 U/L</w:t>
            </w:r>
          </w:p>
        </w:tc>
      </w:tr>
    </w:tbl>
    <w:p w:rsidR="001E1F4F" w:rsidRDefault="001E1F4F">
      <w:bookmarkStart w:id="0" w:name="_GoBack"/>
      <w:bookmarkEnd w:id="0"/>
    </w:p>
    <w:sectPr w:rsidR="001E1F4F" w:rsidSect="005D18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0A"/>
    <w:rsid w:val="001E1F4F"/>
    <w:rsid w:val="005D1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0A"/>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5D180A"/>
    <w:pPr>
      <w:keepNext/>
      <w:jc w:val="left"/>
      <w:outlineLvl w:val="0"/>
    </w:pPr>
    <w:rPr>
      <w:b/>
      <w:sz w:val="32"/>
    </w:rPr>
  </w:style>
  <w:style w:type="paragraph" w:styleId="Heading2">
    <w:name w:val="heading 2"/>
    <w:basedOn w:val="Normal"/>
    <w:next w:val="Normal"/>
    <w:link w:val="Heading2Char"/>
    <w:qFormat/>
    <w:rsid w:val="005D180A"/>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80A"/>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D180A"/>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0A"/>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5D180A"/>
    <w:pPr>
      <w:keepNext/>
      <w:jc w:val="left"/>
      <w:outlineLvl w:val="0"/>
    </w:pPr>
    <w:rPr>
      <w:b/>
      <w:sz w:val="32"/>
    </w:rPr>
  </w:style>
  <w:style w:type="paragraph" w:styleId="Heading2">
    <w:name w:val="heading 2"/>
    <w:basedOn w:val="Normal"/>
    <w:next w:val="Normal"/>
    <w:link w:val="Heading2Char"/>
    <w:qFormat/>
    <w:rsid w:val="005D180A"/>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80A"/>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D180A"/>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1558</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1</cp:revision>
  <dcterms:created xsi:type="dcterms:W3CDTF">2015-06-11T11:58:00Z</dcterms:created>
  <dcterms:modified xsi:type="dcterms:W3CDTF">2015-06-11T11:59:00Z</dcterms:modified>
</cp:coreProperties>
</file>