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AE6FC" w14:textId="77777777" w:rsidR="005E04BF" w:rsidRPr="00CF1ED8" w:rsidRDefault="001D6507" w:rsidP="00CF1ED8">
      <w:pPr>
        <w:spacing w:after="0" w:line="240" w:lineRule="auto"/>
        <w:jc w:val="center"/>
        <w:rPr>
          <w:b/>
          <w:szCs w:val="24"/>
        </w:rPr>
      </w:pPr>
      <w:bookmarkStart w:id="0" w:name="_Hlk511738610"/>
      <w:r w:rsidRPr="00CF1ED8">
        <w:rPr>
          <w:b/>
          <w:szCs w:val="24"/>
        </w:rPr>
        <w:t>SAP LICENCIJ</w:t>
      </w:r>
      <w:r w:rsidR="005E04BF" w:rsidRPr="00CF1ED8">
        <w:rPr>
          <w:b/>
          <w:szCs w:val="24"/>
        </w:rPr>
        <w:t>Ų ĮSIGIJIMO</w:t>
      </w:r>
      <w:r w:rsidRPr="00CF1ED8">
        <w:rPr>
          <w:b/>
          <w:szCs w:val="24"/>
        </w:rPr>
        <w:t xml:space="preserve"> IR GAMINTOJO PALAIKYMO PASLAUGŲ </w:t>
      </w:r>
    </w:p>
    <w:p w14:paraId="68CE676D" w14:textId="095A097E" w:rsidR="00310637" w:rsidRPr="00CF1ED8" w:rsidRDefault="005E04BF" w:rsidP="00CF1ED8">
      <w:pPr>
        <w:spacing w:after="0" w:line="240" w:lineRule="auto"/>
        <w:jc w:val="center"/>
        <w:rPr>
          <w:rFonts w:eastAsia="Times New Roman"/>
          <w:b/>
          <w:color w:val="000000"/>
          <w:szCs w:val="24"/>
        </w:rPr>
      </w:pPr>
      <w:r w:rsidRPr="00CF1ED8">
        <w:rPr>
          <w:b/>
          <w:szCs w:val="24"/>
        </w:rPr>
        <w:t>TECHNINĖ SPECIFIKACIJA</w:t>
      </w:r>
    </w:p>
    <w:bookmarkEnd w:id="0"/>
    <w:p w14:paraId="68CE676E" w14:textId="77777777" w:rsidR="00310637" w:rsidRPr="00CF1ED8" w:rsidRDefault="00310637" w:rsidP="00CF1ED8">
      <w:pPr>
        <w:spacing w:after="0" w:line="240" w:lineRule="auto"/>
        <w:jc w:val="center"/>
        <w:rPr>
          <w:rFonts w:eastAsia="Times New Roman"/>
          <w:b/>
          <w:color w:val="000000"/>
          <w:szCs w:val="24"/>
        </w:rPr>
      </w:pPr>
    </w:p>
    <w:p w14:paraId="68CE676F" w14:textId="77777777" w:rsidR="00310637" w:rsidRPr="00CF1ED8" w:rsidRDefault="00310637" w:rsidP="00CF1ED8">
      <w:pPr>
        <w:keepNext/>
        <w:numPr>
          <w:ilvl w:val="0"/>
          <w:numId w:val="1"/>
        </w:numPr>
        <w:spacing w:after="0" w:line="240" w:lineRule="auto"/>
        <w:jc w:val="center"/>
        <w:outlineLvl w:val="0"/>
        <w:rPr>
          <w:rFonts w:eastAsia="Times New Roman"/>
          <w:b/>
          <w:bCs/>
          <w:caps/>
          <w:szCs w:val="24"/>
          <w:lang w:eastAsia="lt-LT"/>
        </w:rPr>
      </w:pPr>
      <w:bookmarkStart w:id="1" w:name="_Toc493686631"/>
      <w:r w:rsidRPr="00CF1ED8">
        <w:rPr>
          <w:rFonts w:eastAsia="Times New Roman"/>
          <w:b/>
          <w:bCs/>
          <w:caps/>
          <w:szCs w:val="24"/>
          <w:lang w:eastAsia="lt-LT"/>
        </w:rPr>
        <w:t>Esama situacija</w:t>
      </w:r>
      <w:bookmarkEnd w:id="1"/>
    </w:p>
    <w:p w14:paraId="68CE6770" w14:textId="77777777" w:rsidR="00F65750" w:rsidRPr="00CF1ED8" w:rsidRDefault="00F65750" w:rsidP="00CF1ED8">
      <w:pPr>
        <w:keepNext/>
        <w:spacing w:after="0" w:line="240" w:lineRule="auto"/>
        <w:ind w:left="360"/>
        <w:jc w:val="center"/>
        <w:outlineLvl w:val="0"/>
        <w:rPr>
          <w:rFonts w:eastAsia="Times New Roman"/>
          <w:b/>
          <w:bCs/>
          <w:caps/>
          <w:szCs w:val="24"/>
          <w:lang w:eastAsia="lt-LT"/>
        </w:rPr>
      </w:pPr>
    </w:p>
    <w:p w14:paraId="68CE6771" w14:textId="5B00A5F0" w:rsidR="00310637" w:rsidRPr="00CF1ED8" w:rsidRDefault="00310637" w:rsidP="00CF1ED8">
      <w:pPr>
        <w:numPr>
          <w:ilvl w:val="1"/>
          <w:numId w:val="1"/>
        </w:numPr>
        <w:spacing w:after="0" w:line="240" w:lineRule="auto"/>
        <w:ind w:firstLine="567"/>
        <w:jc w:val="both"/>
        <w:rPr>
          <w:rFonts w:eastAsia="Times New Roman"/>
          <w:szCs w:val="24"/>
        </w:rPr>
      </w:pPr>
      <w:r w:rsidRPr="00CF1ED8">
        <w:rPr>
          <w:rFonts w:eastAsia="Times New Roman"/>
          <w:caps/>
          <w:szCs w:val="24"/>
        </w:rPr>
        <w:t>Š</w:t>
      </w:r>
      <w:r w:rsidRPr="00CF1ED8">
        <w:rPr>
          <w:rFonts w:eastAsia="Times New Roman"/>
          <w:szCs w:val="24"/>
        </w:rPr>
        <w:t>iuo metu Valstybinė ligonių kasa prie Sveikatos apsaugos ministerijos (toliau – VLK</w:t>
      </w:r>
      <w:r w:rsidR="0048713D" w:rsidRPr="00CF1ED8">
        <w:rPr>
          <w:rFonts w:eastAsia="Times New Roman"/>
          <w:szCs w:val="24"/>
        </w:rPr>
        <w:t xml:space="preserve"> ar </w:t>
      </w:r>
      <w:r w:rsidR="00097772" w:rsidRPr="00CF1ED8">
        <w:rPr>
          <w:rFonts w:eastAsia="Times New Roman"/>
          <w:szCs w:val="24"/>
        </w:rPr>
        <w:t>UŽSAKOVAS</w:t>
      </w:r>
      <w:r w:rsidRPr="00CF1ED8">
        <w:rPr>
          <w:rFonts w:eastAsia="Times New Roman"/>
          <w:szCs w:val="24"/>
        </w:rPr>
        <w:t xml:space="preserve">) yra įsigijusi </w:t>
      </w:r>
      <w:r w:rsidR="009E6CFE" w:rsidRPr="00CF1ED8">
        <w:rPr>
          <w:rFonts w:eastAsia="Times New Roman"/>
          <w:szCs w:val="24"/>
        </w:rPr>
        <w:t>2.2</w:t>
      </w:r>
      <w:r w:rsidR="004D2612" w:rsidRPr="00CF1ED8">
        <w:rPr>
          <w:rFonts w:eastAsia="Times New Roman"/>
          <w:szCs w:val="24"/>
        </w:rPr>
        <w:t xml:space="preserve"> </w:t>
      </w:r>
      <w:r w:rsidR="009E6CFE" w:rsidRPr="00CF1ED8">
        <w:rPr>
          <w:rFonts w:eastAsia="Times New Roman"/>
          <w:szCs w:val="24"/>
        </w:rPr>
        <w:t>punkt</w:t>
      </w:r>
      <w:r w:rsidR="004D2612" w:rsidRPr="00CF1ED8">
        <w:rPr>
          <w:rFonts w:eastAsia="Times New Roman"/>
          <w:szCs w:val="24"/>
        </w:rPr>
        <w:t>e</w:t>
      </w:r>
      <w:r w:rsidR="009E6CFE" w:rsidRPr="00CF1ED8">
        <w:rPr>
          <w:rFonts w:eastAsia="Times New Roman"/>
          <w:szCs w:val="24"/>
        </w:rPr>
        <w:t xml:space="preserve"> išvardintas SAP licencijas</w:t>
      </w:r>
      <w:r w:rsidRPr="00CF1ED8">
        <w:rPr>
          <w:rFonts w:eastAsia="Times New Roman"/>
          <w:szCs w:val="24"/>
        </w:rPr>
        <w:t>, kurioms gamintojo palaikymas</w:t>
      </w:r>
      <w:r w:rsidR="00776FEF" w:rsidRPr="00CF1ED8">
        <w:rPr>
          <w:rFonts w:eastAsia="Times New Roman"/>
          <w:szCs w:val="24"/>
        </w:rPr>
        <w:t xml:space="preserve"> baigiasi 20</w:t>
      </w:r>
      <w:r w:rsidR="001D6507" w:rsidRPr="00CF1ED8">
        <w:rPr>
          <w:rFonts w:eastAsia="Times New Roman"/>
          <w:szCs w:val="24"/>
        </w:rPr>
        <w:t>2</w:t>
      </w:r>
      <w:r w:rsidR="006D12D6" w:rsidRPr="00CF1ED8">
        <w:rPr>
          <w:rFonts w:eastAsia="Times New Roman"/>
          <w:szCs w:val="24"/>
        </w:rPr>
        <w:t>5</w:t>
      </w:r>
      <w:r w:rsidR="00776FEF" w:rsidRPr="00CF1ED8">
        <w:rPr>
          <w:rFonts w:eastAsia="Times New Roman"/>
          <w:szCs w:val="24"/>
        </w:rPr>
        <w:t>-12-31</w:t>
      </w:r>
      <w:r w:rsidRPr="00CF1ED8">
        <w:rPr>
          <w:rFonts w:eastAsia="Times New Roman"/>
          <w:szCs w:val="24"/>
        </w:rPr>
        <w:t xml:space="preserve">. </w:t>
      </w:r>
      <w:r w:rsidR="00A6475B" w:rsidRPr="00CF1ED8">
        <w:rPr>
          <w:rFonts w:eastAsia="Times New Roman"/>
          <w:szCs w:val="24"/>
        </w:rPr>
        <w:t xml:space="preserve">Šiuo pirkimu planuojama įsigyti minėtų licencijų SAP </w:t>
      </w:r>
      <w:proofErr w:type="spellStart"/>
      <w:r w:rsidR="00A6475B" w:rsidRPr="00CF1ED8">
        <w:rPr>
          <w:rFonts w:eastAsia="Times New Roman"/>
          <w:szCs w:val="24"/>
        </w:rPr>
        <w:t>Enterprise</w:t>
      </w:r>
      <w:proofErr w:type="spellEnd"/>
      <w:r w:rsidR="00A6475B" w:rsidRPr="00CF1ED8">
        <w:rPr>
          <w:rFonts w:eastAsia="Times New Roman"/>
          <w:szCs w:val="24"/>
        </w:rPr>
        <w:t xml:space="preserve"> Support gamintojo palaikymo paslaugas iki 202</w:t>
      </w:r>
      <w:r w:rsidR="00425F18" w:rsidRPr="00CF1ED8">
        <w:rPr>
          <w:rFonts w:eastAsia="Times New Roman"/>
          <w:szCs w:val="24"/>
        </w:rPr>
        <w:t>8</w:t>
      </w:r>
      <w:r w:rsidR="00A6475B" w:rsidRPr="00CF1ED8">
        <w:rPr>
          <w:rFonts w:eastAsia="Times New Roman"/>
          <w:szCs w:val="24"/>
        </w:rPr>
        <w:t>-12-31. Taip pat</w:t>
      </w:r>
      <w:r w:rsidR="00425F18" w:rsidRPr="00CF1ED8">
        <w:rPr>
          <w:rFonts w:eastAsia="Times New Roman"/>
          <w:szCs w:val="24"/>
        </w:rPr>
        <w:t xml:space="preserve"> </w:t>
      </w:r>
      <w:r w:rsidRPr="00CF1ED8">
        <w:rPr>
          <w:rFonts w:eastAsia="Times New Roman"/>
          <w:szCs w:val="24"/>
        </w:rPr>
        <w:t xml:space="preserve">planuojama įsigyti </w:t>
      </w:r>
      <w:r w:rsidR="00C420EB" w:rsidRPr="00CF1ED8">
        <w:rPr>
          <w:rFonts w:eastAsia="Times New Roman"/>
          <w:szCs w:val="24"/>
        </w:rPr>
        <w:t xml:space="preserve">2.3. punkte </w:t>
      </w:r>
      <w:r w:rsidR="00016828" w:rsidRPr="00CF1ED8">
        <w:rPr>
          <w:rFonts w:eastAsia="Times New Roman"/>
          <w:szCs w:val="24"/>
        </w:rPr>
        <w:t xml:space="preserve">nurodytas </w:t>
      </w:r>
      <w:r w:rsidR="004D2612" w:rsidRPr="00CF1ED8">
        <w:rPr>
          <w:rFonts w:eastAsia="Times New Roman"/>
          <w:szCs w:val="24"/>
        </w:rPr>
        <w:t>naujas licencijas ir</w:t>
      </w:r>
      <w:r w:rsidR="005A5DD8" w:rsidRPr="00CF1ED8">
        <w:rPr>
          <w:rFonts w:eastAsia="Times New Roman"/>
          <w:szCs w:val="24"/>
        </w:rPr>
        <w:t xml:space="preserve"> </w:t>
      </w:r>
      <w:r w:rsidR="006D12D6" w:rsidRPr="00CF1ED8">
        <w:rPr>
          <w:rFonts w:eastAsia="Times New Roman"/>
          <w:szCs w:val="24"/>
        </w:rPr>
        <w:t>jų</w:t>
      </w:r>
      <w:r w:rsidRPr="00CF1ED8">
        <w:rPr>
          <w:rFonts w:eastAsia="Times New Roman"/>
          <w:szCs w:val="24"/>
        </w:rPr>
        <w:t xml:space="preserve"> palaikym</w:t>
      </w:r>
      <w:r w:rsidR="0078637E" w:rsidRPr="00CF1ED8">
        <w:rPr>
          <w:rFonts w:eastAsia="Times New Roman"/>
          <w:szCs w:val="24"/>
        </w:rPr>
        <w:t xml:space="preserve">o </w:t>
      </w:r>
      <w:r w:rsidR="007E6A03" w:rsidRPr="00CF1ED8">
        <w:rPr>
          <w:rFonts w:eastAsia="Times New Roman"/>
          <w:szCs w:val="24"/>
        </w:rPr>
        <w:t xml:space="preserve">paslaugas </w:t>
      </w:r>
      <w:r w:rsidRPr="00CF1ED8">
        <w:rPr>
          <w:rFonts w:eastAsia="Times New Roman"/>
          <w:szCs w:val="24"/>
        </w:rPr>
        <w:t>iki 20</w:t>
      </w:r>
      <w:r w:rsidR="0048713D" w:rsidRPr="00CF1ED8">
        <w:rPr>
          <w:rFonts w:eastAsia="Times New Roman"/>
          <w:szCs w:val="24"/>
        </w:rPr>
        <w:t>2</w:t>
      </w:r>
      <w:r w:rsidR="006D12D6" w:rsidRPr="00CF1ED8">
        <w:rPr>
          <w:rFonts w:eastAsia="Times New Roman"/>
          <w:szCs w:val="24"/>
        </w:rPr>
        <w:t>8</w:t>
      </w:r>
      <w:r w:rsidRPr="00CF1ED8">
        <w:rPr>
          <w:rFonts w:eastAsia="Times New Roman"/>
          <w:szCs w:val="24"/>
        </w:rPr>
        <w:t>-12-31.</w:t>
      </w:r>
    </w:p>
    <w:p w14:paraId="68CE6772" w14:textId="77777777" w:rsidR="00A27D94" w:rsidRPr="00CF1ED8" w:rsidRDefault="00A27D94" w:rsidP="00CF1ED8">
      <w:pPr>
        <w:spacing w:after="0" w:line="240" w:lineRule="auto"/>
        <w:ind w:left="567"/>
        <w:jc w:val="both"/>
        <w:rPr>
          <w:rFonts w:eastAsia="Times New Roman"/>
          <w:szCs w:val="24"/>
        </w:rPr>
      </w:pPr>
    </w:p>
    <w:p w14:paraId="68CE6773" w14:textId="77777777" w:rsidR="00310637" w:rsidRPr="00CF1ED8" w:rsidRDefault="00310637" w:rsidP="00CF1ED8">
      <w:pPr>
        <w:keepNext/>
        <w:numPr>
          <w:ilvl w:val="0"/>
          <w:numId w:val="1"/>
        </w:numPr>
        <w:spacing w:after="0" w:line="240" w:lineRule="auto"/>
        <w:jc w:val="center"/>
        <w:outlineLvl w:val="0"/>
        <w:rPr>
          <w:rFonts w:eastAsia="Times New Roman"/>
          <w:b/>
          <w:bCs/>
          <w:caps/>
          <w:szCs w:val="24"/>
          <w:lang w:eastAsia="lt-LT"/>
        </w:rPr>
      </w:pPr>
      <w:bookmarkStart w:id="2" w:name="_Toc493686632"/>
      <w:r w:rsidRPr="00CF1ED8">
        <w:rPr>
          <w:rFonts w:eastAsia="Times New Roman"/>
          <w:b/>
          <w:bCs/>
          <w:caps/>
          <w:szCs w:val="24"/>
          <w:lang w:eastAsia="lt-LT"/>
        </w:rPr>
        <w:t>Pirkimo objektas</w:t>
      </w:r>
      <w:bookmarkEnd w:id="2"/>
    </w:p>
    <w:p w14:paraId="68CE6774" w14:textId="77777777" w:rsidR="00A27D94" w:rsidRPr="00CF1ED8" w:rsidRDefault="00A27D94" w:rsidP="00CF1ED8">
      <w:pPr>
        <w:keepNext/>
        <w:spacing w:after="0" w:line="240" w:lineRule="auto"/>
        <w:ind w:firstLine="567"/>
        <w:jc w:val="center"/>
        <w:outlineLvl w:val="0"/>
        <w:rPr>
          <w:rFonts w:eastAsia="Times New Roman"/>
          <w:b/>
          <w:bCs/>
          <w:caps/>
          <w:szCs w:val="24"/>
          <w:lang w:eastAsia="lt-LT"/>
        </w:rPr>
      </w:pPr>
    </w:p>
    <w:p w14:paraId="68CE6775" w14:textId="042E379E" w:rsidR="00310637" w:rsidRPr="00CF1ED8" w:rsidRDefault="009A6566" w:rsidP="00CF1ED8">
      <w:pPr>
        <w:numPr>
          <w:ilvl w:val="1"/>
          <w:numId w:val="1"/>
        </w:numPr>
        <w:spacing w:after="0" w:line="240" w:lineRule="auto"/>
        <w:ind w:firstLine="567"/>
        <w:jc w:val="both"/>
        <w:rPr>
          <w:rFonts w:eastAsia="Times New Roman"/>
          <w:szCs w:val="24"/>
        </w:rPr>
      </w:pPr>
      <w:r w:rsidRPr="00CF1ED8">
        <w:rPr>
          <w:rFonts w:eastAsia="Times New Roman"/>
          <w:szCs w:val="24"/>
        </w:rPr>
        <w:t xml:space="preserve">Pirkimo objektas yra SAP programinės įrangos </w:t>
      </w:r>
      <w:r w:rsidR="000E17AC" w:rsidRPr="00CF1ED8">
        <w:rPr>
          <w:rFonts w:eastAsia="Times New Roman"/>
          <w:szCs w:val="24"/>
        </w:rPr>
        <w:t xml:space="preserve">licencijos ir </w:t>
      </w:r>
      <w:r w:rsidRPr="00CF1ED8">
        <w:rPr>
          <w:rFonts w:eastAsia="Times New Roman"/>
          <w:szCs w:val="24"/>
        </w:rPr>
        <w:t>licencij</w:t>
      </w:r>
      <w:r w:rsidR="0048713D" w:rsidRPr="00CF1ED8">
        <w:rPr>
          <w:rFonts w:eastAsia="Times New Roman"/>
          <w:szCs w:val="24"/>
        </w:rPr>
        <w:t>ų</w:t>
      </w:r>
      <w:r w:rsidRPr="00CF1ED8">
        <w:rPr>
          <w:rFonts w:eastAsia="Times New Roman"/>
          <w:szCs w:val="24"/>
        </w:rPr>
        <w:t xml:space="preserve"> gamintojo palaikymo paslaugos.</w:t>
      </w:r>
    </w:p>
    <w:p w14:paraId="68CE6776" w14:textId="6EDD1D08" w:rsidR="00C71606" w:rsidRPr="00CF1ED8" w:rsidRDefault="009E6CFE" w:rsidP="00CF1ED8">
      <w:pPr>
        <w:numPr>
          <w:ilvl w:val="1"/>
          <w:numId w:val="1"/>
        </w:numPr>
        <w:spacing w:after="0" w:line="240" w:lineRule="auto"/>
        <w:ind w:firstLine="567"/>
        <w:jc w:val="both"/>
        <w:rPr>
          <w:rFonts w:eastAsia="Times New Roman"/>
          <w:szCs w:val="24"/>
        </w:rPr>
      </w:pPr>
      <w:r w:rsidRPr="00CF1ED8">
        <w:rPr>
          <w:rFonts w:eastAsia="Times New Roman"/>
          <w:szCs w:val="24"/>
        </w:rPr>
        <w:t>VLK turimos licencijos, kurioms perkamas</w:t>
      </w:r>
      <w:r w:rsidR="005A5DD8" w:rsidRPr="00CF1ED8">
        <w:rPr>
          <w:rFonts w:eastAsia="Times New Roman"/>
          <w:szCs w:val="24"/>
        </w:rPr>
        <w:t xml:space="preserve"> SAP </w:t>
      </w:r>
      <w:proofErr w:type="spellStart"/>
      <w:r w:rsidR="005A5DD8" w:rsidRPr="00CF1ED8">
        <w:rPr>
          <w:rFonts w:eastAsia="Times New Roman"/>
          <w:szCs w:val="24"/>
        </w:rPr>
        <w:t>Enterprise</w:t>
      </w:r>
      <w:proofErr w:type="spellEnd"/>
      <w:r w:rsidR="005A5DD8" w:rsidRPr="00CF1ED8">
        <w:rPr>
          <w:rFonts w:eastAsia="Times New Roman"/>
          <w:szCs w:val="24"/>
        </w:rPr>
        <w:t xml:space="preserve"> Support</w:t>
      </w:r>
      <w:r w:rsidRPr="00CF1ED8">
        <w:rPr>
          <w:rFonts w:eastAsia="Times New Roman"/>
          <w:szCs w:val="24"/>
        </w:rPr>
        <w:t xml:space="preserve"> gamintojo palaikymas:</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7087"/>
        <w:gridCol w:w="851"/>
        <w:gridCol w:w="850"/>
      </w:tblGrid>
      <w:tr w:rsidR="009E6CFE" w:rsidRPr="00CF1ED8" w14:paraId="68CE677C"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77" w14:textId="77777777" w:rsidR="009E6CFE" w:rsidRPr="00CF1ED8" w:rsidRDefault="009E6CFE" w:rsidP="00CF1ED8">
            <w:pPr>
              <w:spacing w:after="0" w:line="240" w:lineRule="auto"/>
              <w:jc w:val="center"/>
              <w:rPr>
                <w:b/>
                <w:szCs w:val="24"/>
              </w:rPr>
            </w:pPr>
            <w:r w:rsidRPr="00CF1ED8">
              <w:rPr>
                <w:b/>
                <w:szCs w:val="24"/>
              </w:rPr>
              <w:t>Eil. Nr.</w:t>
            </w:r>
          </w:p>
        </w:tc>
        <w:tc>
          <w:tcPr>
            <w:tcW w:w="7087" w:type="dxa"/>
            <w:tcBorders>
              <w:top w:val="single" w:sz="4" w:space="0" w:color="auto"/>
              <w:left w:val="single" w:sz="4" w:space="0" w:color="auto"/>
              <w:bottom w:val="single" w:sz="4" w:space="0" w:color="auto"/>
              <w:right w:val="single" w:sz="4" w:space="0" w:color="auto"/>
            </w:tcBorders>
            <w:vAlign w:val="center"/>
          </w:tcPr>
          <w:p w14:paraId="68CE6778" w14:textId="77777777" w:rsidR="009E6CFE" w:rsidRPr="00CF1ED8" w:rsidRDefault="009E6CFE" w:rsidP="00CF1ED8">
            <w:pPr>
              <w:spacing w:after="0" w:line="240" w:lineRule="auto"/>
              <w:jc w:val="center"/>
              <w:rPr>
                <w:b/>
                <w:szCs w:val="24"/>
              </w:rPr>
            </w:pPr>
            <w:r w:rsidRPr="00CF1ED8">
              <w:rPr>
                <w:b/>
                <w:szCs w:val="24"/>
              </w:rPr>
              <w:t>Licencijų tipas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68CE6779" w14:textId="77777777" w:rsidR="009E6CFE" w:rsidRPr="00CF1ED8" w:rsidRDefault="009E6CFE" w:rsidP="00CF1ED8">
            <w:pPr>
              <w:spacing w:after="0" w:line="240" w:lineRule="auto"/>
              <w:jc w:val="center"/>
              <w:rPr>
                <w:b/>
                <w:szCs w:val="24"/>
              </w:rPr>
            </w:pPr>
            <w:r w:rsidRPr="00CF1ED8">
              <w:rPr>
                <w:b/>
                <w:szCs w:val="24"/>
              </w:rPr>
              <w:t>Mato</w:t>
            </w:r>
          </w:p>
          <w:p w14:paraId="68CE677A" w14:textId="77777777" w:rsidR="009E6CFE" w:rsidRPr="00CF1ED8" w:rsidRDefault="009E6CFE" w:rsidP="00CF1ED8">
            <w:pPr>
              <w:spacing w:after="0" w:line="240" w:lineRule="auto"/>
              <w:jc w:val="center"/>
              <w:rPr>
                <w:b/>
                <w:szCs w:val="24"/>
              </w:rPr>
            </w:pPr>
            <w:r w:rsidRPr="00CF1ED8">
              <w:rPr>
                <w:b/>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7B" w14:textId="77777777" w:rsidR="009E6CFE" w:rsidRPr="00CF1ED8" w:rsidRDefault="009E6CFE" w:rsidP="00CF1ED8">
            <w:pPr>
              <w:spacing w:after="0" w:line="240" w:lineRule="auto"/>
              <w:ind w:right="-184" w:hanging="215"/>
              <w:jc w:val="center"/>
              <w:rPr>
                <w:b/>
                <w:szCs w:val="24"/>
              </w:rPr>
            </w:pPr>
            <w:r w:rsidRPr="00CF1ED8">
              <w:rPr>
                <w:b/>
                <w:szCs w:val="24"/>
              </w:rPr>
              <w:t>Kiekis</w:t>
            </w:r>
          </w:p>
        </w:tc>
      </w:tr>
      <w:tr w:rsidR="009E6CFE" w:rsidRPr="00CF1ED8" w14:paraId="68CE6781"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7D"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7E" w14:textId="46C829D0"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Application</w:t>
            </w:r>
            <w:proofErr w:type="spellEnd"/>
            <w:r w:rsidRPr="00CF1ED8">
              <w:rPr>
                <w:szCs w:val="24"/>
              </w:rPr>
              <w:t xml:space="preserve"> </w:t>
            </w:r>
            <w:proofErr w:type="spellStart"/>
            <w:r w:rsidRPr="00CF1ED8">
              <w:rPr>
                <w:szCs w:val="24"/>
              </w:rPr>
              <w:t>Developer</w:t>
            </w:r>
            <w:proofErr w:type="spellEnd"/>
            <w:r w:rsidRPr="00CF1ED8">
              <w:rPr>
                <w:szCs w:val="24"/>
              </w:rPr>
              <w:t xml:space="preserve"> vartotojo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7F"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80" w14:textId="77777777" w:rsidR="009E6CFE" w:rsidRPr="00CF1ED8" w:rsidRDefault="009E6CFE" w:rsidP="00CF1ED8">
            <w:pPr>
              <w:spacing w:after="0" w:line="240" w:lineRule="auto"/>
              <w:jc w:val="center"/>
              <w:rPr>
                <w:szCs w:val="24"/>
                <w:highlight w:val="yellow"/>
              </w:rPr>
            </w:pPr>
            <w:r w:rsidRPr="00CF1ED8">
              <w:rPr>
                <w:szCs w:val="24"/>
              </w:rPr>
              <w:t>6</w:t>
            </w:r>
          </w:p>
        </w:tc>
      </w:tr>
      <w:tr w:rsidR="009E6CFE" w:rsidRPr="00CF1ED8" w14:paraId="68CE6786"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82"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83" w14:textId="365DA1E9"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Application</w:t>
            </w:r>
            <w:proofErr w:type="spellEnd"/>
            <w:r w:rsidRPr="00CF1ED8">
              <w:rPr>
                <w:szCs w:val="24"/>
              </w:rPr>
              <w:t xml:space="preserve"> Professional vartotojo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84"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85" w14:textId="77777777" w:rsidR="009E6CFE" w:rsidRPr="00CF1ED8" w:rsidRDefault="009E6CFE" w:rsidP="00CF1ED8">
            <w:pPr>
              <w:spacing w:after="0" w:line="240" w:lineRule="auto"/>
              <w:jc w:val="center"/>
              <w:rPr>
                <w:szCs w:val="24"/>
              </w:rPr>
            </w:pPr>
            <w:r w:rsidRPr="00CF1ED8">
              <w:rPr>
                <w:szCs w:val="24"/>
              </w:rPr>
              <w:t>207</w:t>
            </w:r>
          </w:p>
        </w:tc>
      </w:tr>
      <w:tr w:rsidR="009E6CFE" w:rsidRPr="00CF1ED8" w14:paraId="68CE678B"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87"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88" w14:textId="310248AB"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Application</w:t>
            </w:r>
            <w:proofErr w:type="spellEnd"/>
            <w:r w:rsidRPr="00CF1ED8">
              <w:rPr>
                <w:szCs w:val="24"/>
              </w:rPr>
              <w:t xml:space="preserve"> </w:t>
            </w:r>
            <w:proofErr w:type="spellStart"/>
            <w:r w:rsidRPr="00CF1ED8">
              <w:rPr>
                <w:szCs w:val="24"/>
              </w:rPr>
              <w:t>limited</w:t>
            </w:r>
            <w:proofErr w:type="spellEnd"/>
            <w:r w:rsidRPr="00CF1ED8">
              <w:rPr>
                <w:szCs w:val="24"/>
              </w:rPr>
              <w:t xml:space="preserve"> Professional </w:t>
            </w:r>
            <w:proofErr w:type="spellStart"/>
            <w:r w:rsidRPr="00CF1ED8">
              <w:rPr>
                <w:szCs w:val="24"/>
              </w:rPr>
              <w:t>User</w:t>
            </w:r>
            <w:proofErr w:type="spellEnd"/>
            <w:r w:rsidRPr="00CF1ED8">
              <w:rPr>
                <w:szCs w:val="24"/>
              </w:rPr>
              <w:t xml:space="preserve"> vartotojo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89"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8A" w14:textId="77777777" w:rsidR="009E6CFE" w:rsidRPr="00CF1ED8" w:rsidRDefault="009E6CFE" w:rsidP="00CF1ED8">
            <w:pPr>
              <w:spacing w:after="0" w:line="240" w:lineRule="auto"/>
              <w:jc w:val="center"/>
              <w:rPr>
                <w:szCs w:val="24"/>
                <w:highlight w:val="yellow"/>
              </w:rPr>
            </w:pPr>
            <w:r w:rsidRPr="00CF1ED8">
              <w:rPr>
                <w:szCs w:val="24"/>
              </w:rPr>
              <w:t>81</w:t>
            </w:r>
          </w:p>
        </w:tc>
      </w:tr>
      <w:tr w:rsidR="009E6CFE" w:rsidRPr="00CF1ED8" w14:paraId="68CE6790"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8C"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8D" w14:textId="158BDE71"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BusinessObjects</w:t>
            </w:r>
            <w:proofErr w:type="spellEnd"/>
            <w:r w:rsidRPr="00CF1ED8">
              <w:rPr>
                <w:szCs w:val="24"/>
              </w:rPr>
              <w:t xml:space="preserve"> BI </w:t>
            </w:r>
            <w:proofErr w:type="spellStart"/>
            <w:r w:rsidRPr="00CF1ED8">
              <w:rPr>
                <w:szCs w:val="24"/>
              </w:rPr>
              <w:t>Edge</w:t>
            </w:r>
            <w:proofErr w:type="spellEnd"/>
            <w:r w:rsidRPr="00CF1ED8">
              <w:rPr>
                <w:szCs w:val="24"/>
              </w:rPr>
              <w:t xml:space="preserve"> </w:t>
            </w:r>
            <w:proofErr w:type="spellStart"/>
            <w:r w:rsidRPr="00CF1ED8">
              <w:rPr>
                <w:szCs w:val="24"/>
              </w:rPr>
              <w:t>edition</w:t>
            </w:r>
            <w:proofErr w:type="spellEnd"/>
            <w:r w:rsidRPr="00CF1ED8">
              <w:rPr>
                <w:szCs w:val="24"/>
              </w:rPr>
              <w:t xml:space="preserve"> vartotojo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8E"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8F" w14:textId="77777777" w:rsidR="009E6CFE" w:rsidRPr="00CF1ED8" w:rsidRDefault="009E6CFE" w:rsidP="00CF1ED8">
            <w:pPr>
              <w:spacing w:after="0" w:line="240" w:lineRule="auto"/>
              <w:jc w:val="center"/>
              <w:rPr>
                <w:szCs w:val="24"/>
                <w:highlight w:val="yellow"/>
              </w:rPr>
            </w:pPr>
            <w:r w:rsidRPr="00CF1ED8">
              <w:rPr>
                <w:szCs w:val="24"/>
              </w:rPr>
              <w:t>80</w:t>
            </w:r>
          </w:p>
        </w:tc>
      </w:tr>
      <w:tr w:rsidR="009E6CFE" w:rsidRPr="00CF1ED8" w14:paraId="68CE6795"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91"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92" w14:textId="7757D5CC" w:rsidR="009E6CFE" w:rsidRPr="00CF1ED8" w:rsidRDefault="009E6CFE" w:rsidP="00CF1ED8">
            <w:pPr>
              <w:widowControl w:val="0"/>
              <w:spacing w:after="0" w:line="240" w:lineRule="auto"/>
              <w:jc w:val="both"/>
              <w:rPr>
                <w:szCs w:val="24"/>
              </w:rPr>
            </w:pPr>
            <w:r w:rsidRPr="00CF1ED8">
              <w:rPr>
                <w:szCs w:val="24"/>
              </w:rPr>
              <w:t xml:space="preserve">SAP ER </w:t>
            </w:r>
            <w:proofErr w:type="spellStart"/>
            <w:r w:rsidRPr="00CF1ED8">
              <w:rPr>
                <w:szCs w:val="24"/>
              </w:rPr>
              <w:t>Foundation</w:t>
            </w:r>
            <w:proofErr w:type="spellEnd"/>
            <w:r w:rsidRPr="00CF1ED8">
              <w:rPr>
                <w:szCs w:val="24"/>
              </w:rPr>
              <w:t xml:space="preserve"> </w:t>
            </w:r>
            <w:proofErr w:type="spellStart"/>
            <w:r w:rsidRPr="00CF1ED8">
              <w:rPr>
                <w:szCs w:val="24"/>
              </w:rPr>
              <w:t>Starter</w:t>
            </w:r>
            <w:proofErr w:type="spellEnd"/>
            <w:r w:rsidRPr="00CF1ED8">
              <w:rPr>
                <w:szCs w:val="24"/>
              </w:rPr>
              <w:t xml:space="preserve"> licencijos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93"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94" w14:textId="77777777" w:rsidR="009E6CFE" w:rsidRPr="00CF1ED8" w:rsidRDefault="009E6CFE" w:rsidP="00CF1ED8">
            <w:pPr>
              <w:spacing w:after="0" w:line="240" w:lineRule="auto"/>
              <w:jc w:val="center"/>
              <w:rPr>
                <w:szCs w:val="24"/>
              </w:rPr>
            </w:pPr>
            <w:r w:rsidRPr="00CF1ED8">
              <w:rPr>
                <w:szCs w:val="24"/>
              </w:rPr>
              <w:t>1</w:t>
            </w:r>
          </w:p>
        </w:tc>
      </w:tr>
      <w:tr w:rsidR="009E6CFE" w:rsidRPr="00CF1ED8" w14:paraId="68CE679A"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96"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97" w14:textId="3C8C24DC" w:rsidR="009E6CFE" w:rsidRPr="00CF1ED8" w:rsidRDefault="009E6CFE" w:rsidP="00CF1ED8">
            <w:pPr>
              <w:widowControl w:val="0"/>
              <w:spacing w:after="0" w:line="240" w:lineRule="auto"/>
              <w:jc w:val="both"/>
              <w:rPr>
                <w:szCs w:val="24"/>
              </w:rPr>
            </w:pPr>
            <w:r w:rsidRPr="00CF1ED8">
              <w:rPr>
                <w:szCs w:val="24"/>
              </w:rPr>
              <w:t xml:space="preserve">ERP </w:t>
            </w:r>
            <w:proofErr w:type="spellStart"/>
            <w:r w:rsidRPr="00CF1ED8">
              <w:rPr>
                <w:szCs w:val="24"/>
              </w:rPr>
              <w:t>Component</w:t>
            </w:r>
            <w:proofErr w:type="spellEnd"/>
            <w:r w:rsidRPr="00CF1ED8">
              <w:rPr>
                <w:szCs w:val="24"/>
              </w:rPr>
              <w:t xml:space="preserve"> </w:t>
            </w:r>
            <w:proofErr w:type="spellStart"/>
            <w:r w:rsidRPr="00CF1ED8">
              <w:rPr>
                <w:szCs w:val="24"/>
              </w:rPr>
              <w:t>for</w:t>
            </w:r>
            <w:proofErr w:type="spellEnd"/>
            <w:r w:rsidRPr="00CF1ED8">
              <w:rPr>
                <w:szCs w:val="24"/>
              </w:rPr>
              <w:t xml:space="preserve"> ERP </w:t>
            </w:r>
            <w:proofErr w:type="spellStart"/>
            <w:r w:rsidRPr="00CF1ED8">
              <w:rPr>
                <w:szCs w:val="24"/>
              </w:rPr>
              <w:t>Package</w:t>
            </w:r>
            <w:proofErr w:type="spellEnd"/>
            <w:r w:rsidRPr="00CF1ED8">
              <w:rPr>
                <w:szCs w:val="24"/>
              </w:rPr>
              <w:t xml:space="preserve"> licencijos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98"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99" w14:textId="77777777" w:rsidR="009E6CFE" w:rsidRPr="00CF1ED8" w:rsidRDefault="009E6CFE" w:rsidP="00CF1ED8">
            <w:pPr>
              <w:spacing w:after="0" w:line="240" w:lineRule="auto"/>
              <w:jc w:val="center"/>
              <w:rPr>
                <w:szCs w:val="24"/>
              </w:rPr>
            </w:pPr>
            <w:r w:rsidRPr="00CF1ED8">
              <w:rPr>
                <w:szCs w:val="24"/>
              </w:rPr>
              <w:t>1</w:t>
            </w:r>
          </w:p>
        </w:tc>
      </w:tr>
      <w:tr w:rsidR="009E6CFE" w:rsidRPr="00CF1ED8" w14:paraId="68CE679F"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9B"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9C" w14:textId="50C91C39"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NetWeaver</w:t>
            </w:r>
            <w:proofErr w:type="spellEnd"/>
            <w:r w:rsidRPr="00CF1ED8">
              <w:rPr>
                <w:szCs w:val="24"/>
              </w:rPr>
              <w:t xml:space="preserve"> </w:t>
            </w:r>
            <w:proofErr w:type="spellStart"/>
            <w:r w:rsidRPr="00CF1ED8">
              <w:rPr>
                <w:szCs w:val="24"/>
              </w:rPr>
              <w:t>BeXBroadcaster</w:t>
            </w:r>
            <w:proofErr w:type="spellEnd"/>
            <w:r w:rsidRPr="00CF1ED8">
              <w:rPr>
                <w:szCs w:val="24"/>
              </w:rPr>
              <w:t xml:space="preserve">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9D"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9E" w14:textId="77777777" w:rsidR="009E6CFE" w:rsidRPr="00CF1ED8" w:rsidRDefault="009E6CFE" w:rsidP="00CF1ED8">
            <w:pPr>
              <w:spacing w:after="0" w:line="240" w:lineRule="auto"/>
              <w:jc w:val="center"/>
              <w:rPr>
                <w:szCs w:val="24"/>
                <w:highlight w:val="yellow"/>
              </w:rPr>
            </w:pPr>
            <w:r w:rsidRPr="00CF1ED8">
              <w:rPr>
                <w:szCs w:val="24"/>
              </w:rPr>
              <w:t>300</w:t>
            </w:r>
          </w:p>
        </w:tc>
      </w:tr>
      <w:tr w:rsidR="009E6CFE" w:rsidRPr="00CF1ED8" w14:paraId="68CE67A4"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A0"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A1" w14:textId="03A2647C"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NetWeaver</w:t>
            </w:r>
            <w:proofErr w:type="spellEnd"/>
            <w:r w:rsidRPr="00CF1ED8">
              <w:rPr>
                <w:szCs w:val="24"/>
              </w:rPr>
              <w:t xml:space="preserve"> </w:t>
            </w:r>
            <w:proofErr w:type="spellStart"/>
            <w:r w:rsidRPr="00CF1ED8">
              <w:rPr>
                <w:szCs w:val="24"/>
              </w:rPr>
              <w:t>Process</w:t>
            </w:r>
            <w:proofErr w:type="spellEnd"/>
            <w:r w:rsidRPr="00CF1ED8">
              <w:rPr>
                <w:szCs w:val="24"/>
              </w:rPr>
              <w:t xml:space="preserve"> </w:t>
            </w:r>
            <w:proofErr w:type="spellStart"/>
            <w:r w:rsidRPr="00CF1ED8">
              <w:rPr>
                <w:szCs w:val="24"/>
              </w:rPr>
              <w:t>Integration</w:t>
            </w:r>
            <w:proofErr w:type="spellEnd"/>
            <w:r w:rsidRPr="00CF1ED8">
              <w:rPr>
                <w:szCs w:val="24"/>
              </w:rPr>
              <w:t xml:space="preserve">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A2"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A3" w14:textId="77777777" w:rsidR="009E6CFE" w:rsidRPr="00CF1ED8" w:rsidRDefault="009E6CFE" w:rsidP="00CF1ED8">
            <w:pPr>
              <w:spacing w:after="0" w:line="240" w:lineRule="auto"/>
              <w:jc w:val="center"/>
              <w:rPr>
                <w:szCs w:val="24"/>
              </w:rPr>
            </w:pPr>
            <w:r w:rsidRPr="00CF1ED8">
              <w:rPr>
                <w:szCs w:val="24"/>
              </w:rPr>
              <w:t>3</w:t>
            </w:r>
          </w:p>
        </w:tc>
      </w:tr>
      <w:tr w:rsidR="009E6CFE" w:rsidRPr="00CF1ED8" w14:paraId="68CE67A9"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8CE67A5" w14:textId="77777777" w:rsidR="009E6CFE" w:rsidRPr="00CF1ED8" w:rsidRDefault="009E6CFE"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68CE67A6" w14:textId="6D881266" w:rsidR="009E6CFE" w:rsidRPr="00CF1ED8" w:rsidRDefault="009E6CFE" w:rsidP="00CF1ED8">
            <w:pPr>
              <w:widowControl w:val="0"/>
              <w:spacing w:after="0" w:line="240" w:lineRule="auto"/>
              <w:jc w:val="both"/>
              <w:rPr>
                <w:szCs w:val="24"/>
              </w:rPr>
            </w:pPr>
            <w:r w:rsidRPr="00CF1ED8">
              <w:rPr>
                <w:szCs w:val="24"/>
              </w:rPr>
              <w:t xml:space="preserve">SAP </w:t>
            </w:r>
            <w:proofErr w:type="spellStart"/>
            <w:r w:rsidRPr="00CF1ED8">
              <w:rPr>
                <w:szCs w:val="24"/>
              </w:rPr>
              <w:t>Profitability</w:t>
            </w:r>
            <w:proofErr w:type="spellEnd"/>
            <w:r w:rsidRPr="00CF1ED8">
              <w:rPr>
                <w:szCs w:val="24"/>
              </w:rPr>
              <w:t xml:space="preserve"> </w:t>
            </w:r>
            <w:proofErr w:type="spellStart"/>
            <w:r w:rsidRPr="00CF1ED8">
              <w:rPr>
                <w:szCs w:val="24"/>
              </w:rPr>
              <w:t>and</w:t>
            </w:r>
            <w:proofErr w:type="spellEnd"/>
            <w:r w:rsidRPr="00CF1ED8">
              <w:rPr>
                <w:szCs w:val="24"/>
              </w:rPr>
              <w:t xml:space="preserve"> </w:t>
            </w:r>
            <w:proofErr w:type="spellStart"/>
            <w:r w:rsidRPr="00CF1ED8">
              <w:rPr>
                <w:szCs w:val="24"/>
              </w:rPr>
              <w:t>Cost</w:t>
            </w:r>
            <w:proofErr w:type="spellEnd"/>
            <w:r w:rsidRPr="00CF1ED8">
              <w:rPr>
                <w:szCs w:val="24"/>
              </w:rPr>
              <w:t xml:space="preserve"> </w:t>
            </w:r>
            <w:proofErr w:type="spellStart"/>
            <w:r w:rsidRPr="00CF1ED8">
              <w:rPr>
                <w:szCs w:val="24"/>
              </w:rPr>
              <w:t>Management</w:t>
            </w:r>
            <w:proofErr w:type="spellEnd"/>
            <w:r w:rsidRPr="00CF1ED8">
              <w:rPr>
                <w:szCs w:val="24"/>
              </w:rPr>
              <w:t xml:space="preserve"> Professional </w:t>
            </w:r>
            <w:proofErr w:type="spellStart"/>
            <w:r w:rsidRPr="00CF1ED8">
              <w:rPr>
                <w:szCs w:val="24"/>
              </w:rPr>
              <w:t>edition</w:t>
            </w:r>
            <w:proofErr w:type="spellEnd"/>
            <w:r w:rsidRPr="00CF1ED8">
              <w:rPr>
                <w:szCs w:val="24"/>
              </w:rPr>
              <w:t xml:space="preserve"> licencijų gamintojo palaikymo atnaujinimo paslaugos iki </w:t>
            </w:r>
            <w:r w:rsidR="002E7E47" w:rsidRPr="002E7E47">
              <w:rPr>
                <w:szCs w:val="24"/>
              </w:rPr>
              <w:t>2028</w:t>
            </w:r>
            <w:r w:rsidR="00F92141"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68CE67A7" w14:textId="77777777" w:rsidR="009E6CFE" w:rsidRPr="00CF1ED8" w:rsidRDefault="009E6CFE"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8CE67A8" w14:textId="77777777" w:rsidR="009E6CFE" w:rsidRPr="00CF1ED8" w:rsidRDefault="009E6CFE" w:rsidP="00CF1ED8">
            <w:pPr>
              <w:spacing w:after="0" w:line="240" w:lineRule="auto"/>
              <w:jc w:val="center"/>
              <w:rPr>
                <w:szCs w:val="24"/>
              </w:rPr>
            </w:pPr>
            <w:r w:rsidRPr="00CF1ED8">
              <w:rPr>
                <w:szCs w:val="24"/>
              </w:rPr>
              <w:t>50</w:t>
            </w:r>
          </w:p>
        </w:tc>
      </w:tr>
      <w:tr w:rsidR="001D6507" w:rsidRPr="00CF1ED8" w14:paraId="0EAF9610"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1C07420" w14:textId="77777777" w:rsidR="001D6507" w:rsidRPr="00CF1ED8" w:rsidRDefault="001D6507"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F33D082" w14:textId="5A1180D7" w:rsidR="001D6507" w:rsidRPr="00CF1ED8" w:rsidRDefault="00F92141" w:rsidP="00CF1ED8">
            <w:pPr>
              <w:widowControl w:val="0"/>
              <w:spacing w:after="0" w:line="240" w:lineRule="auto"/>
              <w:jc w:val="both"/>
              <w:rPr>
                <w:szCs w:val="24"/>
              </w:rPr>
            </w:pPr>
            <w:r w:rsidRPr="00CF1ED8">
              <w:rPr>
                <w:szCs w:val="24"/>
              </w:rPr>
              <w:t xml:space="preserve">SAP </w:t>
            </w:r>
            <w:proofErr w:type="spellStart"/>
            <w:r w:rsidRPr="00CF1ED8">
              <w:rPr>
                <w:szCs w:val="24"/>
              </w:rPr>
              <w:t>Process</w:t>
            </w:r>
            <w:proofErr w:type="spellEnd"/>
            <w:r w:rsidRPr="00CF1ED8">
              <w:rPr>
                <w:szCs w:val="24"/>
              </w:rPr>
              <w:t xml:space="preserve"> </w:t>
            </w:r>
            <w:proofErr w:type="spellStart"/>
            <w:r w:rsidRPr="00CF1ED8">
              <w:rPr>
                <w:szCs w:val="24"/>
              </w:rPr>
              <w:t>Orchestra</w:t>
            </w:r>
            <w:r w:rsidR="00AA0CB9" w:rsidRPr="00CF1ED8">
              <w:rPr>
                <w:szCs w:val="24"/>
              </w:rPr>
              <w:t>tion</w:t>
            </w:r>
            <w:proofErr w:type="spellEnd"/>
            <w:r w:rsidRPr="00CF1ED8">
              <w:rPr>
                <w:szCs w:val="24"/>
              </w:rPr>
              <w:t xml:space="preserve"> licencijų gamintojo palaikymo atnaujinimo paslaugos iki </w:t>
            </w:r>
            <w:r w:rsidR="002E7E47" w:rsidRPr="002E7E47">
              <w:rPr>
                <w:szCs w:val="24"/>
              </w:rPr>
              <w:t>2028</w:t>
            </w:r>
            <w:r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71D2DFBE" w14:textId="18FE3B19" w:rsidR="001D6507" w:rsidRPr="00CF1ED8" w:rsidRDefault="00F92141"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1DE7808" w14:textId="01C6B7A2" w:rsidR="001D6507" w:rsidRPr="00CF1ED8" w:rsidRDefault="00F92141" w:rsidP="00CF1ED8">
            <w:pPr>
              <w:spacing w:after="0" w:line="240" w:lineRule="auto"/>
              <w:jc w:val="center"/>
              <w:rPr>
                <w:szCs w:val="24"/>
              </w:rPr>
            </w:pPr>
            <w:r w:rsidRPr="00CF1ED8">
              <w:rPr>
                <w:szCs w:val="24"/>
              </w:rPr>
              <w:t>2</w:t>
            </w:r>
          </w:p>
        </w:tc>
      </w:tr>
      <w:tr w:rsidR="00494CDB" w:rsidRPr="00CF1ED8" w14:paraId="656212BE"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283A6DFE" w14:textId="77777777" w:rsidR="00494CDB" w:rsidRPr="00CF1ED8" w:rsidRDefault="00494CDB"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749AAC1B" w14:textId="698DE8B6" w:rsidR="00494CDB" w:rsidRPr="00CF1ED8" w:rsidRDefault="00494CDB" w:rsidP="00CF1ED8">
            <w:pPr>
              <w:widowControl w:val="0"/>
              <w:spacing w:after="0" w:line="240" w:lineRule="auto"/>
              <w:jc w:val="both"/>
              <w:rPr>
                <w:szCs w:val="24"/>
              </w:rPr>
            </w:pPr>
            <w:r w:rsidRPr="00CF1ED8">
              <w:rPr>
                <w:szCs w:val="24"/>
              </w:rPr>
              <w:t xml:space="preserve">SAP HANA, </w:t>
            </w:r>
            <w:proofErr w:type="spellStart"/>
            <w:r w:rsidRPr="00CF1ED8">
              <w:rPr>
                <w:szCs w:val="24"/>
              </w:rPr>
              <w:t>Runtime</w:t>
            </w:r>
            <w:proofErr w:type="spellEnd"/>
            <w:r w:rsidRPr="00CF1ED8">
              <w:rPr>
                <w:szCs w:val="24"/>
              </w:rPr>
              <w:t xml:space="preserve"> </w:t>
            </w:r>
            <w:proofErr w:type="spellStart"/>
            <w:r w:rsidRPr="00CF1ED8">
              <w:rPr>
                <w:szCs w:val="24"/>
              </w:rPr>
              <w:t>edition</w:t>
            </w:r>
            <w:proofErr w:type="spellEnd"/>
            <w:r w:rsidRPr="00CF1ED8">
              <w:rPr>
                <w:szCs w:val="24"/>
              </w:rPr>
              <w:t xml:space="preserve"> </w:t>
            </w:r>
            <w:proofErr w:type="spellStart"/>
            <w:r w:rsidRPr="00CF1ED8">
              <w:rPr>
                <w:szCs w:val="24"/>
              </w:rPr>
              <w:t>for</w:t>
            </w:r>
            <w:proofErr w:type="spellEnd"/>
            <w:r w:rsidRPr="00CF1ED8">
              <w:rPr>
                <w:szCs w:val="24"/>
              </w:rPr>
              <w:t xml:space="preserve"> </w:t>
            </w:r>
            <w:proofErr w:type="spellStart"/>
            <w:r w:rsidRPr="00CF1ED8">
              <w:rPr>
                <w:szCs w:val="24"/>
              </w:rPr>
              <w:t>Applications</w:t>
            </w:r>
            <w:proofErr w:type="spellEnd"/>
            <w:r w:rsidRPr="00CF1ED8">
              <w:rPr>
                <w:szCs w:val="24"/>
              </w:rPr>
              <w:t xml:space="preserve"> &amp; SAP BW </w:t>
            </w:r>
            <w:r w:rsidR="00533621">
              <w:rPr>
                <w:szCs w:val="24"/>
              </w:rPr>
              <w:t>–</w:t>
            </w:r>
          </w:p>
          <w:p w14:paraId="649A7D0B" w14:textId="67A0024A" w:rsidR="00494CDB" w:rsidRPr="00CF1ED8" w:rsidRDefault="00494CDB" w:rsidP="00CF1ED8">
            <w:pPr>
              <w:widowControl w:val="0"/>
              <w:spacing w:after="0" w:line="240" w:lineRule="auto"/>
              <w:jc w:val="both"/>
              <w:rPr>
                <w:szCs w:val="24"/>
              </w:rPr>
            </w:pPr>
            <w:proofErr w:type="spellStart"/>
            <w:r w:rsidRPr="00CF1ED8">
              <w:rPr>
                <w:szCs w:val="24"/>
              </w:rPr>
              <w:t>New</w:t>
            </w:r>
            <w:proofErr w:type="spellEnd"/>
            <w:r w:rsidRPr="00CF1ED8">
              <w:rPr>
                <w:szCs w:val="24"/>
              </w:rPr>
              <w:t>/</w:t>
            </w:r>
            <w:proofErr w:type="spellStart"/>
            <w:r w:rsidRPr="00CF1ED8">
              <w:rPr>
                <w:szCs w:val="24"/>
              </w:rPr>
              <w:t>Subsequent</w:t>
            </w:r>
            <w:proofErr w:type="spellEnd"/>
            <w:r w:rsidR="00146014" w:rsidRPr="00CF1ED8">
              <w:rPr>
                <w:szCs w:val="24"/>
              </w:rPr>
              <w:t xml:space="preserve"> licencijų gamintojo palaikymo atnaujinimo paslaugos iki </w:t>
            </w:r>
            <w:r w:rsidR="002E7E47" w:rsidRPr="002E7E47">
              <w:rPr>
                <w:szCs w:val="24"/>
              </w:rPr>
              <w:t>2028</w:t>
            </w:r>
            <w:r w:rsidR="00146014" w:rsidRPr="00CF1ED8">
              <w:rPr>
                <w:szCs w:val="24"/>
              </w:rPr>
              <w:t>-12-31</w:t>
            </w:r>
          </w:p>
        </w:tc>
        <w:tc>
          <w:tcPr>
            <w:tcW w:w="851" w:type="dxa"/>
            <w:tcBorders>
              <w:top w:val="single" w:sz="4" w:space="0" w:color="auto"/>
              <w:left w:val="single" w:sz="4" w:space="0" w:color="auto"/>
              <w:bottom w:val="single" w:sz="4" w:space="0" w:color="auto"/>
              <w:right w:val="single" w:sz="4" w:space="0" w:color="auto"/>
            </w:tcBorders>
            <w:vAlign w:val="center"/>
          </w:tcPr>
          <w:p w14:paraId="15BBEBAF" w14:textId="33DD115D" w:rsidR="00494CDB" w:rsidRPr="00CF1ED8" w:rsidRDefault="00494CDB"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54D667F" w14:textId="0F6E4876" w:rsidR="00494CDB" w:rsidRPr="00CF1ED8" w:rsidRDefault="00494CDB" w:rsidP="00CF1ED8">
            <w:pPr>
              <w:spacing w:after="0" w:line="240" w:lineRule="auto"/>
              <w:jc w:val="center"/>
              <w:rPr>
                <w:szCs w:val="24"/>
              </w:rPr>
            </w:pPr>
            <w:r w:rsidRPr="00CF1ED8">
              <w:rPr>
                <w:szCs w:val="24"/>
              </w:rPr>
              <w:t>1</w:t>
            </w:r>
          </w:p>
        </w:tc>
      </w:tr>
      <w:tr w:rsidR="006D12D6" w:rsidRPr="00CF1ED8" w14:paraId="756310C9"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73F53AB4" w14:textId="77777777" w:rsidR="006D12D6" w:rsidRPr="00CF1ED8" w:rsidRDefault="006D12D6"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21D9EE86" w14:textId="0ABE724A" w:rsidR="006D12D6" w:rsidRPr="00CF1ED8" w:rsidRDefault="00B13460" w:rsidP="00CF1ED8">
            <w:pPr>
              <w:widowControl w:val="0"/>
              <w:spacing w:after="0" w:line="240" w:lineRule="auto"/>
              <w:jc w:val="both"/>
              <w:rPr>
                <w:szCs w:val="24"/>
              </w:rPr>
            </w:pPr>
            <w:r w:rsidRPr="00CF1ED8">
              <w:rPr>
                <w:szCs w:val="24"/>
              </w:rPr>
              <w:t xml:space="preserve">SAP HANA </w:t>
            </w:r>
            <w:proofErr w:type="spellStart"/>
            <w:r w:rsidRPr="00CF1ED8">
              <w:rPr>
                <w:szCs w:val="24"/>
              </w:rPr>
              <w:t>Enterprise</w:t>
            </w:r>
            <w:proofErr w:type="spellEnd"/>
            <w:r w:rsidRPr="00CF1ED8">
              <w:rPr>
                <w:szCs w:val="24"/>
              </w:rPr>
              <w:t xml:space="preserve"> Edition licencijų gamintojo palaikymo atnaujinimo paslaugos iki 2028-12-31</w:t>
            </w:r>
          </w:p>
        </w:tc>
        <w:tc>
          <w:tcPr>
            <w:tcW w:w="851" w:type="dxa"/>
            <w:tcBorders>
              <w:top w:val="single" w:sz="4" w:space="0" w:color="auto"/>
              <w:left w:val="single" w:sz="4" w:space="0" w:color="auto"/>
              <w:bottom w:val="single" w:sz="4" w:space="0" w:color="auto"/>
              <w:right w:val="single" w:sz="4" w:space="0" w:color="auto"/>
            </w:tcBorders>
            <w:vAlign w:val="center"/>
          </w:tcPr>
          <w:p w14:paraId="40A04A25" w14:textId="122D41F1" w:rsidR="006D12D6" w:rsidRPr="00CF1ED8" w:rsidRDefault="00B13460"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0494182" w14:textId="1BFAFDFB" w:rsidR="006D12D6" w:rsidRPr="00CF1ED8" w:rsidRDefault="00B13460" w:rsidP="00CF1ED8">
            <w:pPr>
              <w:spacing w:after="0" w:line="240" w:lineRule="auto"/>
              <w:jc w:val="center"/>
              <w:rPr>
                <w:szCs w:val="24"/>
              </w:rPr>
            </w:pPr>
            <w:r w:rsidRPr="00CF1ED8">
              <w:rPr>
                <w:szCs w:val="24"/>
              </w:rPr>
              <w:t>13</w:t>
            </w:r>
          </w:p>
        </w:tc>
      </w:tr>
      <w:tr w:rsidR="006D12D6" w:rsidRPr="00CF1ED8" w14:paraId="64C0B9EC"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6E561C46" w14:textId="77777777" w:rsidR="006D12D6" w:rsidRPr="00CF1ED8" w:rsidRDefault="006D12D6"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78878B6F" w14:textId="4E97F3EF" w:rsidR="006D12D6" w:rsidRPr="00CF1ED8" w:rsidRDefault="00F4514F" w:rsidP="00CF1ED8">
            <w:pPr>
              <w:widowControl w:val="0"/>
              <w:spacing w:after="0" w:line="240" w:lineRule="auto"/>
              <w:jc w:val="both"/>
              <w:rPr>
                <w:szCs w:val="24"/>
              </w:rPr>
            </w:pPr>
            <w:r w:rsidRPr="00CF1ED8">
              <w:rPr>
                <w:szCs w:val="24"/>
              </w:rPr>
              <w:t xml:space="preserve">SAP HANA, </w:t>
            </w:r>
            <w:proofErr w:type="spellStart"/>
            <w:r w:rsidRPr="00CF1ED8">
              <w:rPr>
                <w:szCs w:val="24"/>
              </w:rPr>
              <w:t>active</w:t>
            </w:r>
            <w:proofErr w:type="spellEnd"/>
            <w:r w:rsidRPr="00CF1ED8">
              <w:rPr>
                <w:szCs w:val="24"/>
              </w:rPr>
              <w:t>/</w:t>
            </w:r>
            <w:proofErr w:type="spellStart"/>
            <w:r w:rsidRPr="00CF1ED8">
              <w:rPr>
                <w:szCs w:val="24"/>
              </w:rPr>
              <w:t>active</w:t>
            </w:r>
            <w:proofErr w:type="spellEnd"/>
            <w:r w:rsidRPr="00CF1ED8">
              <w:rPr>
                <w:szCs w:val="24"/>
              </w:rPr>
              <w:t xml:space="preserve"> </w:t>
            </w:r>
            <w:proofErr w:type="spellStart"/>
            <w:r w:rsidRPr="00CF1ED8">
              <w:rPr>
                <w:szCs w:val="24"/>
              </w:rPr>
              <w:t>read-enabled</w:t>
            </w:r>
            <w:proofErr w:type="spellEnd"/>
            <w:r w:rsidRPr="00CF1ED8">
              <w:rPr>
                <w:szCs w:val="24"/>
              </w:rPr>
              <w:t xml:space="preserve"> </w:t>
            </w:r>
            <w:proofErr w:type="spellStart"/>
            <w:r w:rsidRPr="00CF1ED8">
              <w:rPr>
                <w:szCs w:val="24"/>
              </w:rPr>
              <w:t>option</w:t>
            </w:r>
            <w:proofErr w:type="spellEnd"/>
            <w:r w:rsidRPr="00CF1ED8">
              <w:rPr>
                <w:szCs w:val="24"/>
              </w:rPr>
              <w:t xml:space="preserve"> licencijų gamintojo palaikymo atnaujinimo paslaugos iki 2028-12-31</w:t>
            </w:r>
          </w:p>
        </w:tc>
        <w:tc>
          <w:tcPr>
            <w:tcW w:w="851" w:type="dxa"/>
            <w:tcBorders>
              <w:top w:val="single" w:sz="4" w:space="0" w:color="auto"/>
              <w:left w:val="single" w:sz="4" w:space="0" w:color="auto"/>
              <w:bottom w:val="single" w:sz="4" w:space="0" w:color="auto"/>
              <w:right w:val="single" w:sz="4" w:space="0" w:color="auto"/>
            </w:tcBorders>
            <w:vAlign w:val="center"/>
          </w:tcPr>
          <w:p w14:paraId="02FD11A5" w14:textId="6D477B83" w:rsidR="006D12D6" w:rsidRPr="00CF1ED8" w:rsidRDefault="00B13460"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19AA535" w14:textId="7B8BA10C" w:rsidR="006D12D6" w:rsidRPr="00CF1ED8" w:rsidRDefault="00B13460" w:rsidP="00CF1ED8">
            <w:pPr>
              <w:spacing w:after="0" w:line="240" w:lineRule="auto"/>
              <w:jc w:val="center"/>
              <w:rPr>
                <w:szCs w:val="24"/>
              </w:rPr>
            </w:pPr>
            <w:r w:rsidRPr="00CF1ED8">
              <w:rPr>
                <w:szCs w:val="24"/>
              </w:rPr>
              <w:t>13</w:t>
            </w:r>
          </w:p>
        </w:tc>
      </w:tr>
      <w:tr w:rsidR="006D12D6" w:rsidRPr="00CF1ED8" w14:paraId="7671D68A" w14:textId="77777777" w:rsidTr="009E6CFE">
        <w:tc>
          <w:tcPr>
            <w:tcW w:w="964" w:type="dxa"/>
            <w:tcBorders>
              <w:top w:val="single" w:sz="4" w:space="0" w:color="auto"/>
              <w:left w:val="single" w:sz="4" w:space="0" w:color="auto"/>
              <w:bottom w:val="single" w:sz="4" w:space="0" w:color="auto"/>
              <w:right w:val="single" w:sz="4" w:space="0" w:color="auto"/>
            </w:tcBorders>
            <w:vAlign w:val="center"/>
          </w:tcPr>
          <w:p w14:paraId="5D886937" w14:textId="77777777" w:rsidR="006D12D6" w:rsidRPr="00CF1ED8" w:rsidRDefault="006D12D6" w:rsidP="00CF1ED8">
            <w:pPr>
              <w:pStyle w:val="ListParagraph"/>
              <w:numPr>
                <w:ilvl w:val="0"/>
                <w:numId w:val="5"/>
              </w:numPr>
              <w:spacing w:after="0" w:line="240" w:lineRule="auto"/>
              <w:ind w:left="347"/>
              <w:jc w:val="center"/>
              <w:rPr>
                <w:szCs w:val="24"/>
              </w:rPr>
            </w:pPr>
          </w:p>
        </w:tc>
        <w:tc>
          <w:tcPr>
            <w:tcW w:w="7087" w:type="dxa"/>
            <w:tcBorders>
              <w:top w:val="single" w:sz="4" w:space="0" w:color="auto"/>
              <w:left w:val="single" w:sz="4" w:space="0" w:color="auto"/>
              <w:bottom w:val="single" w:sz="4" w:space="0" w:color="auto"/>
              <w:right w:val="single" w:sz="4" w:space="0" w:color="auto"/>
            </w:tcBorders>
            <w:vAlign w:val="center"/>
          </w:tcPr>
          <w:p w14:paraId="55395E63" w14:textId="164BBF09" w:rsidR="006D12D6" w:rsidRPr="00CF1ED8" w:rsidRDefault="00F4514F" w:rsidP="00CF1ED8">
            <w:pPr>
              <w:widowControl w:val="0"/>
              <w:spacing w:after="0" w:line="240" w:lineRule="auto"/>
              <w:jc w:val="both"/>
              <w:rPr>
                <w:szCs w:val="24"/>
              </w:rPr>
            </w:pPr>
            <w:proofErr w:type="spellStart"/>
            <w:r w:rsidRPr="00CF1ED8">
              <w:rPr>
                <w:szCs w:val="24"/>
              </w:rPr>
              <w:t>Revenue</w:t>
            </w:r>
            <w:proofErr w:type="spellEnd"/>
            <w:r w:rsidRPr="00CF1ED8">
              <w:rPr>
                <w:szCs w:val="24"/>
              </w:rPr>
              <w:t xml:space="preserve"> </w:t>
            </w:r>
            <w:proofErr w:type="spellStart"/>
            <w:r w:rsidRPr="00CF1ED8">
              <w:rPr>
                <w:szCs w:val="24"/>
              </w:rPr>
              <w:t>Cycle</w:t>
            </w:r>
            <w:proofErr w:type="spellEnd"/>
            <w:r w:rsidRPr="00CF1ED8">
              <w:rPr>
                <w:szCs w:val="24"/>
              </w:rPr>
              <w:t xml:space="preserve"> </w:t>
            </w:r>
            <w:proofErr w:type="spellStart"/>
            <w:r w:rsidRPr="00CF1ED8">
              <w:rPr>
                <w:szCs w:val="24"/>
              </w:rPr>
              <w:t>management</w:t>
            </w:r>
            <w:proofErr w:type="spellEnd"/>
            <w:r w:rsidRPr="00CF1ED8">
              <w:rPr>
                <w:szCs w:val="24"/>
              </w:rPr>
              <w:t xml:space="preserve"> </w:t>
            </w:r>
            <w:proofErr w:type="spellStart"/>
            <w:r w:rsidRPr="00CF1ED8">
              <w:rPr>
                <w:szCs w:val="24"/>
              </w:rPr>
              <w:t>for</w:t>
            </w:r>
            <w:proofErr w:type="spellEnd"/>
            <w:r w:rsidRPr="00CF1ED8">
              <w:rPr>
                <w:szCs w:val="24"/>
              </w:rPr>
              <w:t xml:space="preserve"> S/4HANA licencijų gamintojo palaikymo atnaujinimo paslaugos iki 2028-12-31</w:t>
            </w:r>
          </w:p>
        </w:tc>
        <w:tc>
          <w:tcPr>
            <w:tcW w:w="851" w:type="dxa"/>
            <w:tcBorders>
              <w:top w:val="single" w:sz="4" w:space="0" w:color="auto"/>
              <w:left w:val="single" w:sz="4" w:space="0" w:color="auto"/>
              <w:bottom w:val="single" w:sz="4" w:space="0" w:color="auto"/>
              <w:right w:val="single" w:sz="4" w:space="0" w:color="auto"/>
            </w:tcBorders>
            <w:vAlign w:val="center"/>
          </w:tcPr>
          <w:p w14:paraId="14E6DC07" w14:textId="6A5A3CEF" w:rsidR="006D12D6" w:rsidRPr="00CF1ED8" w:rsidRDefault="00B13460"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793A6C5" w14:textId="56127907" w:rsidR="006D12D6" w:rsidRPr="00CF1ED8" w:rsidRDefault="00B13460" w:rsidP="00CF1ED8">
            <w:pPr>
              <w:spacing w:after="0" w:line="240" w:lineRule="auto"/>
              <w:jc w:val="center"/>
              <w:rPr>
                <w:szCs w:val="24"/>
              </w:rPr>
            </w:pPr>
            <w:r w:rsidRPr="00CF1ED8">
              <w:rPr>
                <w:szCs w:val="24"/>
              </w:rPr>
              <w:t>12</w:t>
            </w:r>
          </w:p>
        </w:tc>
      </w:tr>
    </w:tbl>
    <w:p w14:paraId="6FF7CAE1" w14:textId="77777777" w:rsidR="006C59E9" w:rsidRPr="00CF1ED8" w:rsidRDefault="006C59E9" w:rsidP="00CF1ED8">
      <w:pPr>
        <w:spacing w:after="0" w:line="240" w:lineRule="auto"/>
        <w:jc w:val="both"/>
        <w:rPr>
          <w:rFonts w:eastAsia="Times New Roman"/>
          <w:szCs w:val="24"/>
        </w:rPr>
      </w:pPr>
    </w:p>
    <w:p w14:paraId="6E28413C" w14:textId="77777777" w:rsidR="00651054" w:rsidRPr="00CF1ED8" w:rsidRDefault="00651054" w:rsidP="00CF1ED8">
      <w:pPr>
        <w:spacing w:after="160" w:line="240" w:lineRule="auto"/>
        <w:rPr>
          <w:rFonts w:eastAsia="Times New Roman"/>
          <w:szCs w:val="24"/>
        </w:rPr>
      </w:pPr>
      <w:r w:rsidRPr="00CF1ED8">
        <w:rPr>
          <w:rFonts w:eastAsia="Times New Roman"/>
          <w:szCs w:val="24"/>
        </w:rPr>
        <w:br w:type="page"/>
      </w:r>
    </w:p>
    <w:p w14:paraId="1C5A82E5" w14:textId="0C2E7AC3" w:rsidR="006C59E9" w:rsidRPr="00CF1ED8" w:rsidRDefault="001E0BB2" w:rsidP="00CF1ED8">
      <w:pPr>
        <w:numPr>
          <w:ilvl w:val="1"/>
          <w:numId w:val="1"/>
        </w:numPr>
        <w:spacing w:after="0" w:line="240" w:lineRule="auto"/>
        <w:ind w:firstLine="567"/>
        <w:jc w:val="both"/>
        <w:rPr>
          <w:rFonts w:eastAsia="Times New Roman"/>
          <w:szCs w:val="24"/>
        </w:rPr>
      </w:pPr>
      <w:r w:rsidRPr="00CF1ED8">
        <w:rPr>
          <w:rFonts w:eastAsia="Times New Roman"/>
          <w:szCs w:val="24"/>
        </w:rPr>
        <w:lastRenderedPageBreak/>
        <w:t xml:space="preserve">Naujos licencijos bei SAP </w:t>
      </w:r>
      <w:proofErr w:type="spellStart"/>
      <w:r w:rsidRPr="00CF1ED8">
        <w:rPr>
          <w:rFonts w:eastAsia="Times New Roman"/>
          <w:szCs w:val="24"/>
        </w:rPr>
        <w:t>Enterprise</w:t>
      </w:r>
      <w:proofErr w:type="spellEnd"/>
      <w:r w:rsidRPr="00CF1ED8">
        <w:rPr>
          <w:rFonts w:eastAsia="Times New Roman"/>
          <w:szCs w:val="24"/>
        </w:rPr>
        <w:t xml:space="preserve"> Support gamintojo palaikymas nuo 2026-01-01:</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58"/>
        <w:gridCol w:w="851"/>
        <w:gridCol w:w="850"/>
      </w:tblGrid>
      <w:tr w:rsidR="001E0BB2" w:rsidRPr="00CF1ED8" w14:paraId="4AD37A24" w14:textId="77777777" w:rsidTr="002E7E47">
        <w:tc>
          <w:tcPr>
            <w:tcW w:w="993" w:type="dxa"/>
            <w:tcBorders>
              <w:top w:val="single" w:sz="4" w:space="0" w:color="auto"/>
              <w:left w:val="single" w:sz="4" w:space="0" w:color="auto"/>
              <w:bottom w:val="single" w:sz="4" w:space="0" w:color="auto"/>
              <w:right w:val="single" w:sz="4" w:space="0" w:color="auto"/>
            </w:tcBorders>
            <w:vAlign w:val="center"/>
          </w:tcPr>
          <w:p w14:paraId="15521E4C" w14:textId="77777777" w:rsidR="001E0BB2" w:rsidRPr="00CF1ED8" w:rsidRDefault="001E0BB2" w:rsidP="00CF1ED8">
            <w:pPr>
              <w:spacing w:after="0" w:line="240" w:lineRule="auto"/>
              <w:jc w:val="center"/>
              <w:rPr>
                <w:b/>
                <w:szCs w:val="24"/>
              </w:rPr>
            </w:pPr>
            <w:r w:rsidRPr="00CF1ED8">
              <w:rPr>
                <w:b/>
                <w:szCs w:val="24"/>
              </w:rPr>
              <w:t>Eil. Nr.</w:t>
            </w:r>
          </w:p>
        </w:tc>
        <w:tc>
          <w:tcPr>
            <w:tcW w:w="7058" w:type="dxa"/>
            <w:tcBorders>
              <w:top w:val="single" w:sz="4" w:space="0" w:color="auto"/>
              <w:left w:val="single" w:sz="4" w:space="0" w:color="auto"/>
              <w:bottom w:val="single" w:sz="4" w:space="0" w:color="auto"/>
              <w:right w:val="single" w:sz="4" w:space="0" w:color="auto"/>
            </w:tcBorders>
            <w:vAlign w:val="center"/>
          </w:tcPr>
          <w:p w14:paraId="0A60F718" w14:textId="77777777" w:rsidR="001E0BB2" w:rsidRPr="00CF1ED8" w:rsidRDefault="001E0BB2" w:rsidP="00CF1ED8">
            <w:pPr>
              <w:spacing w:after="0" w:line="240" w:lineRule="auto"/>
              <w:jc w:val="center"/>
              <w:rPr>
                <w:b/>
                <w:szCs w:val="24"/>
              </w:rPr>
            </w:pPr>
            <w:r w:rsidRPr="00CF1ED8">
              <w:rPr>
                <w:b/>
                <w:szCs w:val="24"/>
              </w:rPr>
              <w:t>Licencijų tipas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44F41103" w14:textId="77777777" w:rsidR="001E0BB2" w:rsidRPr="00CF1ED8" w:rsidRDefault="001E0BB2" w:rsidP="00CF1ED8">
            <w:pPr>
              <w:spacing w:after="0" w:line="240" w:lineRule="auto"/>
              <w:jc w:val="center"/>
              <w:rPr>
                <w:b/>
                <w:szCs w:val="24"/>
              </w:rPr>
            </w:pPr>
            <w:r w:rsidRPr="00CF1ED8">
              <w:rPr>
                <w:b/>
                <w:szCs w:val="24"/>
              </w:rPr>
              <w:t>Mato</w:t>
            </w:r>
          </w:p>
          <w:p w14:paraId="623D69E4" w14:textId="77777777" w:rsidR="001E0BB2" w:rsidRPr="00CF1ED8" w:rsidRDefault="001E0BB2" w:rsidP="00CF1ED8">
            <w:pPr>
              <w:spacing w:after="0" w:line="240" w:lineRule="auto"/>
              <w:jc w:val="center"/>
              <w:rPr>
                <w:b/>
                <w:szCs w:val="24"/>
              </w:rPr>
            </w:pPr>
            <w:r w:rsidRPr="00CF1ED8">
              <w:rPr>
                <w:b/>
                <w:szCs w:val="24"/>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9144CCE" w14:textId="77777777" w:rsidR="001E0BB2" w:rsidRPr="00CF1ED8" w:rsidRDefault="001E0BB2" w:rsidP="00CF1ED8">
            <w:pPr>
              <w:spacing w:after="0" w:line="240" w:lineRule="auto"/>
              <w:ind w:right="-184" w:hanging="215"/>
              <w:jc w:val="center"/>
              <w:rPr>
                <w:b/>
                <w:szCs w:val="24"/>
              </w:rPr>
            </w:pPr>
            <w:r w:rsidRPr="00CF1ED8">
              <w:rPr>
                <w:b/>
                <w:szCs w:val="24"/>
              </w:rPr>
              <w:t>Kiekis</w:t>
            </w:r>
          </w:p>
        </w:tc>
      </w:tr>
      <w:tr w:rsidR="001E0BB2" w:rsidRPr="00CF1ED8" w14:paraId="37811263" w14:textId="77777777" w:rsidTr="002E7E47">
        <w:tc>
          <w:tcPr>
            <w:tcW w:w="993" w:type="dxa"/>
            <w:tcBorders>
              <w:top w:val="single" w:sz="4" w:space="0" w:color="auto"/>
              <w:left w:val="single" w:sz="4" w:space="0" w:color="auto"/>
              <w:bottom w:val="single" w:sz="4" w:space="0" w:color="auto"/>
              <w:right w:val="single" w:sz="4" w:space="0" w:color="auto"/>
            </w:tcBorders>
            <w:vAlign w:val="center"/>
          </w:tcPr>
          <w:p w14:paraId="2E0181DC" w14:textId="77777777" w:rsidR="001E0BB2" w:rsidRPr="00CF1ED8" w:rsidRDefault="001E0BB2" w:rsidP="002E7E47">
            <w:pPr>
              <w:pStyle w:val="ListParagraph"/>
              <w:numPr>
                <w:ilvl w:val="0"/>
                <w:numId w:val="9"/>
              </w:numPr>
              <w:spacing w:after="0" w:line="240" w:lineRule="auto"/>
              <w:ind w:left="347"/>
              <w:jc w:val="center"/>
              <w:rPr>
                <w:szCs w:val="24"/>
              </w:rPr>
            </w:pPr>
          </w:p>
        </w:tc>
        <w:tc>
          <w:tcPr>
            <w:tcW w:w="7058" w:type="dxa"/>
            <w:tcBorders>
              <w:top w:val="single" w:sz="4" w:space="0" w:color="auto"/>
              <w:left w:val="single" w:sz="4" w:space="0" w:color="auto"/>
              <w:bottom w:val="single" w:sz="4" w:space="0" w:color="auto"/>
              <w:right w:val="single" w:sz="4" w:space="0" w:color="auto"/>
            </w:tcBorders>
            <w:vAlign w:val="center"/>
          </w:tcPr>
          <w:p w14:paraId="0ADF930A" w14:textId="6BB603A3" w:rsidR="001E0BB2" w:rsidRPr="00CF1ED8" w:rsidRDefault="00AD24A6" w:rsidP="00CF1ED8">
            <w:pPr>
              <w:widowControl w:val="0"/>
              <w:spacing w:after="0" w:line="240" w:lineRule="auto"/>
              <w:jc w:val="both"/>
              <w:rPr>
                <w:szCs w:val="24"/>
              </w:rPr>
            </w:pPr>
            <w:r w:rsidRPr="00CF1ED8">
              <w:rPr>
                <w:szCs w:val="24"/>
              </w:rPr>
              <w:t xml:space="preserve">SAP HANA </w:t>
            </w:r>
            <w:proofErr w:type="spellStart"/>
            <w:r w:rsidRPr="00CF1ED8">
              <w:rPr>
                <w:szCs w:val="24"/>
              </w:rPr>
              <w:t>Enterprise</w:t>
            </w:r>
            <w:proofErr w:type="spellEnd"/>
            <w:r w:rsidRPr="00CF1ED8">
              <w:rPr>
                <w:szCs w:val="24"/>
              </w:rPr>
              <w:t xml:space="preserve"> Edition licencijos</w:t>
            </w:r>
          </w:p>
        </w:tc>
        <w:tc>
          <w:tcPr>
            <w:tcW w:w="851" w:type="dxa"/>
            <w:tcBorders>
              <w:top w:val="single" w:sz="4" w:space="0" w:color="auto"/>
              <w:left w:val="single" w:sz="4" w:space="0" w:color="auto"/>
              <w:bottom w:val="single" w:sz="4" w:space="0" w:color="auto"/>
              <w:right w:val="single" w:sz="4" w:space="0" w:color="auto"/>
            </w:tcBorders>
            <w:vAlign w:val="center"/>
          </w:tcPr>
          <w:p w14:paraId="3E18B05D" w14:textId="77777777" w:rsidR="001E0BB2" w:rsidRPr="00CF1ED8" w:rsidRDefault="001E0BB2"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5432AF6F" w14:textId="32930AC2" w:rsidR="001E0BB2" w:rsidRPr="00CF1ED8" w:rsidRDefault="00AD24A6" w:rsidP="00CF1ED8">
            <w:pPr>
              <w:spacing w:after="0" w:line="240" w:lineRule="auto"/>
              <w:jc w:val="center"/>
              <w:rPr>
                <w:szCs w:val="24"/>
                <w:highlight w:val="yellow"/>
              </w:rPr>
            </w:pPr>
            <w:r w:rsidRPr="00CF1ED8">
              <w:rPr>
                <w:szCs w:val="24"/>
              </w:rPr>
              <w:t>2</w:t>
            </w:r>
          </w:p>
        </w:tc>
      </w:tr>
      <w:tr w:rsidR="001E0BB2" w:rsidRPr="00CF1ED8" w14:paraId="28B313DE" w14:textId="77777777" w:rsidTr="002E7E47">
        <w:tc>
          <w:tcPr>
            <w:tcW w:w="993" w:type="dxa"/>
            <w:tcBorders>
              <w:top w:val="single" w:sz="4" w:space="0" w:color="auto"/>
              <w:left w:val="single" w:sz="4" w:space="0" w:color="auto"/>
              <w:bottom w:val="single" w:sz="4" w:space="0" w:color="auto"/>
              <w:right w:val="single" w:sz="4" w:space="0" w:color="auto"/>
            </w:tcBorders>
            <w:vAlign w:val="center"/>
          </w:tcPr>
          <w:p w14:paraId="6DAB2A5E" w14:textId="77777777" w:rsidR="001E0BB2" w:rsidRPr="00CF1ED8" w:rsidRDefault="001E0BB2" w:rsidP="00CF1ED8">
            <w:pPr>
              <w:pStyle w:val="ListParagraph"/>
              <w:numPr>
                <w:ilvl w:val="0"/>
                <w:numId w:val="9"/>
              </w:numPr>
              <w:spacing w:after="0" w:line="240" w:lineRule="auto"/>
              <w:ind w:left="347"/>
              <w:jc w:val="center"/>
              <w:rPr>
                <w:szCs w:val="24"/>
              </w:rPr>
            </w:pPr>
          </w:p>
        </w:tc>
        <w:tc>
          <w:tcPr>
            <w:tcW w:w="7058" w:type="dxa"/>
            <w:tcBorders>
              <w:top w:val="single" w:sz="4" w:space="0" w:color="auto"/>
              <w:left w:val="single" w:sz="4" w:space="0" w:color="auto"/>
              <w:bottom w:val="single" w:sz="4" w:space="0" w:color="auto"/>
              <w:right w:val="single" w:sz="4" w:space="0" w:color="auto"/>
            </w:tcBorders>
            <w:vAlign w:val="center"/>
          </w:tcPr>
          <w:p w14:paraId="5A854026" w14:textId="0A4B6410" w:rsidR="001E0BB2" w:rsidRPr="00CF1ED8" w:rsidRDefault="00AD24A6" w:rsidP="00CF1ED8">
            <w:pPr>
              <w:widowControl w:val="0"/>
              <w:spacing w:after="0" w:line="240" w:lineRule="auto"/>
              <w:jc w:val="both"/>
              <w:rPr>
                <w:szCs w:val="24"/>
              </w:rPr>
            </w:pPr>
            <w:r w:rsidRPr="00CF1ED8">
              <w:rPr>
                <w:szCs w:val="24"/>
              </w:rPr>
              <w:t xml:space="preserve">SAP HANA, </w:t>
            </w:r>
            <w:proofErr w:type="spellStart"/>
            <w:r w:rsidRPr="00CF1ED8">
              <w:rPr>
                <w:szCs w:val="24"/>
              </w:rPr>
              <w:t>active</w:t>
            </w:r>
            <w:proofErr w:type="spellEnd"/>
            <w:r w:rsidRPr="00CF1ED8">
              <w:rPr>
                <w:szCs w:val="24"/>
              </w:rPr>
              <w:t>/</w:t>
            </w:r>
            <w:proofErr w:type="spellStart"/>
            <w:r w:rsidRPr="00CF1ED8">
              <w:rPr>
                <w:szCs w:val="24"/>
              </w:rPr>
              <w:t>active</w:t>
            </w:r>
            <w:proofErr w:type="spellEnd"/>
            <w:r w:rsidRPr="00CF1ED8">
              <w:rPr>
                <w:szCs w:val="24"/>
              </w:rPr>
              <w:t xml:space="preserve"> </w:t>
            </w:r>
            <w:proofErr w:type="spellStart"/>
            <w:r w:rsidRPr="00CF1ED8">
              <w:rPr>
                <w:szCs w:val="24"/>
              </w:rPr>
              <w:t>read-enabled</w:t>
            </w:r>
            <w:proofErr w:type="spellEnd"/>
            <w:r w:rsidRPr="00CF1ED8">
              <w:rPr>
                <w:szCs w:val="24"/>
              </w:rPr>
              <w:t xml:space="preserve"> </w:t>
            </w:r>
            <w:proofErr w:type="spellStart"/>
            <w:r w:rsidRPr="00CF1ED8">
              <w:rPr>
                <w:szCs w:val="24"/>
              </w:rPr>
              <w:t>option</w:t>
            </w:r>
            <w:proofErr w:type="spellEnd"/>
            <w:r w:rsidRPr="00CF1ED8">
              <w:rPr>
                <w:szCs w:val="24"/>
              </w:rPr>
              <w:t xml:space="preserve"> licencijos</w:t>
            </w:r>
          </w:p>
        </w:tc>
        <w:tc>
          <w:tcPr>
            <w:tcW w:w="851" w:type="dxa"/>
            <w:tcBorders>
              <w:top w:val="single" w:sz="4" w:space="0" w:color="auto"/>
              <w:left w:val="single" w:sz="4" w:space="0" w:color="auto"/>
              <w:bottom w:val="single" w:sz="4" w:space="0" w:color="auto"/>
              <w:right w:val="single" w:sz="4" w:space="0" w:color="auto"/>
            </w:tcBorders>
            <w:vAlign w:val="center"/>
          </w:tcPr>
          <w:p w14:paraId="44FAD024" w14:textId="77777777" w:rsidR="001E0BB2" w:rsidRPr="00CF1ED8" w:rsidRDefault="001E0BB2"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650FC2DA" w14:textId="06A02973" w:rsidR="001E0BB2" w:rsidRPr="00CF1ED8" w:rsidRDefault="001E0BB2" w:rsidP="00CF1ED8">
            <w:pPr>
              <w:spacing w:after="0" w:line="240" w:lineRule="auto"/>
              <w:jc w:val="center"/>
              <w:rPr>
                <w:szCs w:val="24"/>
              </w:rPr>
            </w:pPr>
            <w:r w:rsidRPr="00CF1ED8">
              <w:rPr>
                <w:szCs w:val="24"/>
              </w:rPr>
              <w:t>2</w:t>
            </w:r>
          </w:p>
        </w:tc>
      </w:tr>
      <w:tr w:rsidR="001E0BB2" w:rsidRPr="00CF1ED8" w14:paraId="2CCDBE38" w14:textId="77777777" w:rsidTr="002E7E47">
        <w:tc>
          <w:tcPr>
            <w:tcW w:w="993" w:type="dxa"/>
            <w:tcBorders>
              <w:top w:val="single" w:sz="4" w:space="0" w:color="auto"/>
              <w:left w:val="single" w:sz="4" w:space="0" w:color="auto"/>
              <w:bottom w:val="single" w:sz="4" w:space="0" w:color="auto"/>
              <w:right w:val="single" w:sz="4" w:space="0" w:color="auto"/>
            </w:tcBorders>
            <w:vAlign w:val="center"/>
          </w:tcPr>
          <w:p w14:paraId="790DE9FC" w14:textId="77777777" w:rsidR="001E0BB2" w:rsidRPr="00CF1ED8" w:rsidRDefault="001E0BB2" w:rsidP="00CF1ED8">
            <w:pPr>
              <w:pStyle w:val="ListParagraph"/>
              <w:numPr>
                <w:ilvl w:val="0"/>
                <w:numId w:val="9"/>
              </w:numPr>
              <w:spacing w:after="0" w:line="240" w:lineRule="auto"/>
              <w:ind w:left="347"/>
              <w:jc w:val="center"/>
              <w:rPr>
                <w:szCs w:val="24"/>
              </w:rPr>
            </w:pPr>
          </w:p>
        </w:tc>
        <w:tc>
          <w:tcPr>
            <w:tcW w:w="7058" w:type="dxa"/>
            <w:tcBorders>
              <w:top w:val="single" w:sz="4" w:space="0" w:color="auto"/>
              <w:left w:val="single" w:sz="4" w:space="0" w:color="auto"/>
              <w:bottom w:val="single" w:sz="4" w:space="0" w:color="auto"/>
              <w:right w:val="single" w:sz="4" w:space="0" w:color="auto"/>
            </w:tcBorders>
            <w:vAlign w:val="center"/>
          </w:tcPr>
          <w:p w14:paraId="25D66D8C" w14:textId="26FDFCB6" w:rsidR="001E0BB2" w:rsidRPr="00CF1ED8" w:rsidRDefault="00651054" w:rsidP="00CF1ED8">
            <w:pPr>
              <w:widowControl w:val="0"/>
              <w:spacing w:after="0" w:line="240" w:lineRule="auto"/>
              <w:jc w:val="both"/>
              <w:rPr>
                <w:szCs w:val="24"/>
              </w:rPr>
            </w:pPr>
            <w:r w:rsidRPr="00CF1ED8">
              <w:rPr>
                <w:szCs w:val="24"/>
              </w:rPr>
              <w:t xml:space="preserve">SAP HANA </w:t>
            </w:r>
            <w:proofErr w:type="spellStart"/>
            <w:r w:rsidRPr="00CF1ED8">
              <w:rPr>
                <w:szCs w:val="24"/>
              </w:rPr>
              <w:t>Enterprise</w:t>
            </w:r>
            <w:proofErr w:type="spellEnd"/>
            <w:r w:rsidRPr="00CF1ED8">
              <w:rPr>
                <w:szCs w:val="24"/>
              </w:rPr>
              <w:t xml:space="preserve"> Edition licencijų gamintojo palaikymas iki 2028-12-31</w:t>
            </w:r>
          </w:p>
        </w:tc>
        <w:tc>
          <w:tcPr>
            <w:tcW w:w="851" w:type="dxa"/>
            <w:tcBorders>
              <w:top w:val="single" w:sz="4" w:space="0" w:color="auto"/>
              <w:left w:val="single" w:sz="4" w:space="0" w:color="auto"/>
              <w:bottom w:val="single" w:sz="4" w:space="0" w:color="auto"/>
              <w:right w:val="single" w:sz="4" w:space="0" w:color="auto"/>
            </w:tcBorders>
            <w:vAlign w:val="center"/>
          </w:tcPr>
          <w:p w14:paraId="2E355739" w14:textId="77777777" w:rsidR="001E0BB2" w:rsidRPr="00CF1ED8" w:rsidRDefault="001E0BB2"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4F5FE47F" w14:textId="19B7840D" w:rsidR="001E0BB2" w:rsidRPr="00CF1ED8" w:rsidRDefault="00651054" w:rsidP="00CF1ED8">
            <w:pPr>
              <w:spacing w:after="0" w:line="240" w:lineRule="auto"/>
              <w:jc w:val="center"/>
              <w:rPr>
                <w:szCs w:val="24"/>
                <w:highlight w:val="yellow"/>
              </w:rPr>
            </w:pPr>
            <w:r w:rsidRPr="00CF1ED8">
              <w:rPr>
                <w:szCs w:val="24"/>
              </w:rPr>
              <w:t>2</w:t>
            </w:r>
          </w:p>
        </w:tc>
      </w:tr>
      <w:tr w:rsidR="001E0BB2" w:rsidRPr="00CF1ED8" w14:paraId="1D970EEC" w14:textId="77777777" w:rsidTr="002E7E47">
        <w:tc>
          <w:tcPr>
            <w:tcW w:w="993" w:type="dxa"/>
            <w:tcBorders>
              <w:top w:val="single" w:sz="4" w:space="0" w:color="auto"/>
              <w:left w:val="single" w:sz="4" w:space="0" w:color="auto"/>
              <w:bottom w:val="single" w:sz="4" w:space="0" w:color="auto"/>
              <w:right w:val="single" w:sz="4" w:space="0" w:color="auto"/>
            </w:tcBorders>
            <w:vAlign w:val="center"/>
          </w:tcPr>
          <w:p w14:paraId="6C073B44" w14:textId="77777777" w:rsidR="001E0BB2" w:rsidRPr="00CF1ED8" w:rsidRDefault="001E0BB2" w:rsidP="00CF1ED8">
            <w:pPr>
              <w:pStyle w:val="ListParagraph"/>
              <w:numPr>
                <w:ilvl w:val="0"/>
                <w:numId w:val="9"/>
              </w:numPr>
              <w:spacing w:after="0" w:line="240" w:lineRule="auto"/>
              <w:ind w:left="347"/>
              <w:jc w:val="center"/>
              <w:rPr>
                <w:szCs w:val="24"/>
              </w:rPr>
            </w:pPr>
          </w:p>
        </w:tc>
        <w:tc>
          <w:tcPr>
            <w:tcW w:w="7058" w:type="dxa"/>
            <w:tcBorders>
              <w:top w:val="single" w:sz="4" w:space="0" w:color="auto"/>
              <w:left w:val="single" w:sz="4" w:space="0" w:color="auto"/>
              <w:bottom w:val="single" w:sz="4" w:space="0" w:color="auto"/>
              <w:right w:val="single" w:sz="4" w:space="0" w:color="auto"/>
            </w:tcBorders>
            <w:vAlign w:val="center"/>
          </w:tcPr>
          <w:p w14:paraId="6C798022" w14:textId="0A3716BA" w:rsidR="001E0BB2" w:rsidRPr="00CF1ED8" w:rsidRDefault="00651054" w:rsidP="00CF1ED8">
            <w:pPr>
              <w:widowControl w:val="0"/>
              <w:spacing w:after="0" w:line="240" w:lineRule="auto"/>
              <w:jc w:val="both"/>
              <w:rPr>
                <w:szCs w:val="24"/>
              </w:rPr>
            </w:pPr>
            <w:r w:rsidRPr="00CF1ED8">
              <w:rPr>
                <w:szCs w:val="24"/>
              </w:rPr>
              <w:t xml:space="preserve">SAP HANA, </w:t>
            </w:r>
            <w:proofErr w:type="spellStart"/>
            <w:r w:rsidRPr="00CF1ED8">
              <w:rPr>
                <w:szCs w:val="24"/>
              </w:rPr>
              <w:t>active</w:t>
            </w:r>
            <w:proofErr w:type="spellEnd"/>
            <w:r w:rsidRPr="00CF1ED8">
              <w:rPr>
                <w:szCs w:val="24"/>
              </w:rPr>
              <w:t>/</w:t>
            </w:r>
            <w:proofErr w:type="spellStart"/>
            <w:r w:rsidRPr="00CF1ED8">
              <w:rPr>
                <w:szCs w:val="24"/>
              </w:rPr>
              <w:t>active</w:t>
            </w:r>
            <w:proofErr w:type="spellEnd"/>
            <w:r w:rsidRPr="00CF1ED8">
              <w:rPr>
                <w:szCs w:val="24"/>
              </w:rPr>
              <w:t xml:space="preserve"> </w:t>
            </w:r>
            <w:proofErr w:type="spellStart"/>
            <w:r w:rsidRPr="00CF1ED8">
              <w:rPr>
                <w:szCs w:val="24"/>
              </w:rPr>
              <w:t>read-enabled</w:t>
            </w:r>
            <w:proofErr w:type="spellEnd"/>
            <w:r w:rsidRPr="00CF1ED8">
              <w:rPr>
                <w:szCs w:val="24"/>
              </w:rPr>
              <w:t xml:space="preserve"> </w:t>
            </w:r>
            <w:proofErr w:type="spellStart"/>
            <w:r w:rsidRPr="00CF1ED8">
              <w:rPr>
                <w:szCs w:val="24"/>
              </w:rPr>
              <w:t>option</w:t>
            </w:r>
            <w:proofErr w:type="spellEnd"/>
            <w:r w:rsidRPr="00CF1ED8">
              <w:rPr>
                <w:szCs w:val="24"/>
              </w:rPr>
              <w:t xml:space="preserve"> licencijų gamintojo palaikymas iki 2028-12-31</w:t>
            </w:r>
          </w:p>
        </w:tc>
        <w:tc>
          <w:tcPr>
            <w:tcW w:w="851" w:type="dxa"/>
            <w:tcBorders>
              <w:top w:val="single" w:sz="4" w:space="0" w:color="auto"/>
              <w:left w:val="single" w:sz="4" w:space="0" w:color="auto"/>
              <w:bottom w:val="single" w:sz="4" w:space="0" w:color="auto"/>
              <w:right w:val="single" w:sz="4" w:space="0" w:color="auto"/>
            </w:tcBorders>
            <w:vAlign w:val="center"/>
          </w:tcPr>
          <w:p w14:paraId="0C358FDE" w14:textId="77777777" w:rsidR="001E0BB2" w:rsidRPr="00CF1ED8" w:rsidRDefault="001E0BB2" w:rsidP="00CF1ED8">
            <w:pPr>
              <w:widowControl w:val="0"/>
              <w:spacing w:after="0" w:line="240" w:lineRule="auto"/>
              <w:jc w:val="center"/>
              <w:rPr>
                <w:rFonts w:eastAsia="Times New Roman"/>
                <w:color w:val="000000"/>
                <w:szCs w:val="24"/>
                <w:lang w:eastAsia="lt-LT" w:bidi="lt-LT"/>
              </w:rPr>
            </w:pPr>
            <w:r w:rsidRPr="00CF1ED8">
              <w:rPr>
                <w:rFonts w:eastAsia="Times New Roman"/>
                <w:color w:val="000000"/>
                <w:szCs w:val="24"/>
                <w:lang w:eastAsia="lt-LT" w:bidi="lt-LT"/>
              </w:rPr>
              <w:t>vnt.</w:t>
            </w:r>
          </w:p>
        </w:tc>
        <w:tc>
          <w:tcPr>
            <w:tcW w:w="850" w:type="dxa"/>
            <w:tcBorders>
              <w:top w:val="single" w:sz="4" w:space="0" w:color="auto"/>
              <w:left w:val="single" w:sz="4" w:space="0" w:color="auto"/>
              <w:bottom w:val="single" w:sz="4" w:space="0" w:color="auto"/>
              <w:right w:val="single" w:sz="4" w:space="0" w:color="auto"/>
            </w:tcBorders>
            <w:vAlign w:val="center"/>
          </w:tcPr>
          <w:p w14:paraId="7DDCE055" w14:textId="46A95BC9" w:rsidR="001E0BB2" w:rsidRPr="00CF1ED8" w:rsidRDefault="00651054" w:rsidP="00CF1ED8">
            <w:pPr>
              <w:spacing w:after="0" w:line="240" w:lineRule="auto"/>
              <w:jc w:val="center"/>
              <w:rPr>
                <w:szCs w:val="24"/>
                <w:highlight w:val="yellow"/>
              </w:rPr>
            </w:pPr>
            <w:r w:rsidRPr="00CF1ED8">
              <w:rPr>
                <w:szCs w:val="24"/>
              </w:rPr>
              <w:t>2</w:t>
            </w:r>
          </w:p>
        </w:tc>
      </w:tr>
    </w:tbl>
    <w:p w14:paraId="5CBA48F3" w14:textId="77777777" w:rsidR="001E0BB2" w:rsidRPr="00CF1ED8" w:rsidRDefault="001E0BB2" w:rsidP="00CF1ED8">
      <w:pPr>
        <w:spacing w:after="0" w:line="240" w:lineRule="auto"/>
        <w:jc w:val="both"/>
        <w:rPr>
          <w:rFonts w:eastAsia="Times New Roman"/>
          <w:szCs w:val="24"/>
        </w:rPr>
      </w:pPr>
    </w:p>
    <w:p w14:paraId="68CE67AC" w14:textId="77777777" w:rsidR="002C4407" w:rsidRPr="00CF1ED8" w:rsidRDefault="002C4407" w:rsidP="00CF1ED8">
      <w:pPr>
        <w:spacing w:after="0" w:line="240" w:lineRule="auto"/>
        <w:ind w:left="567"/>
        <w:jc w:val="both"/>
        <w:rPr>
          <w:rFonts w:eastAsia="Times New Roman"/>
          <w:szCs w:val="24"/>
        </w:rPr>
      </w:pPr>
    </w:p>
    <w:p w14:paraId="68CE67AD" w14:textId="77777777" w:rsidR="00310637" w:rsidRPr="00CF1ED8" w:rsidRDefault="00310637" w:rsidP="00CF1ED8">
      <w:pPr>
        <w:keepNext/>
        <w:numPr>
          <w:ilvl w:val="0"/>
          <w:numId w:val="1"/>
        </w:numPr>
        <w:spacing w:after="0" w:line="240" w:lineRule="auto"/>
        <w:jc w:val="center"/>
        <w:outlineLvl w:val="0"/>
        <w:rPr>
          <w:rFonts w:eastAsia="Times New Roman"/>
          <w:b/>
          <w:bCs/>
          <w:caps/>
          <w:szCs w:val="24"/>
          <w:lang w:eastAsia="lt-LT"/>
        </w:rPr>
      </w:pPr>
      <w:bookmarkStart w:id="3" w:name="_Toc493686633"/>
      <w:r w:rsidRPr="00CF1ED8">
        <w:rPr>
          <w:rFonts w:eastAsia="Times New Roman"/>
          <w:b/>
          <w:bCs/>
          <w:caps/>
          <w:szCs w:val="24"/>
          <w:lang w:eastAsia="lt-LT"/>
        </w:rPr>
        <w:t>Reikalavimai licencij</w:t>
      </w:r>
      <w:bookmarkEnd w:id="3"/>
      <w:r w:rsidR="0048713D" w:rsidRPr="00CF1ED8">
        <w:rPr>
          <w:rFonts w:eastAsia="Times New Roman"/>
          <w:b/>
          <w:bCs/>
          <w:caps/>
          <w:szCs w:val="24"/>
          <w:lang w:eastAsia="lt-LT"/>
        </w:rPr>
        <w:t>ų palaikymui</w:t>
      </w:r>
    </w:p>
    <w:p w14:paraId="68CE67AE" w14:textId="77777777" w:rsidR="00A27D94" w:rsidRPr="00CF1ED8" w:rsidRDefault="00A27D94" w:rsidP="00CF1ED8">
      <w:pPr>
        <w:keepNext/>
        <w:spacing w:after="0" w:line="240" w:lineRule="auto"/>
        <w:ind w:left="360"/>
        <w:jc w:val="center"/>
        <w:outlineLvl w:val="0"/>
        <w:rPr>
          <w:rFonts w:eastAsia="Times New Roman"/>
          <w:b/>
          <w:bCs/>
          <w:caps/>
          <w:szCs w:val="24"/>
          <w:lang w:eastAsia="lt-LT"/>
        </w:rPr>
      </w:pPr>
    </w:p>
    <w:p w14:paraId="68CE67AF" w14:textId="3C3B132D" w:rsidR="00310637" w:rsidRPr="00CF1ED8" w:rsidRDefault="00097772" w:rsidP="00CF1ED8">
      <w:pPr>
        <w:numPr>
          <w:ilvl w:val="1"/>
          <w:numId w:val="1"/>
        </w:numPr>
        <w:spacing w:after="0" w:line="240" w:lineRule="auto"/>
        <w:ind w:firstLine="567"/>
        <w:jc w:val="both"/>
        <w:rPr>
          <w:rFonts w:eastAsia="Times New Roman"/>
          <w:szCs w:val="24"/>
        </w:rPr>
      </w:pPr>
      <w:r w:rsidRPr="00CF1ED8">
        <w:rPr>
          <w:rFonts w:eastAsia="Times New Roman"/>
          <w:szCs w:val="24"/>
        </w:rPr>
        <w:t xml:space="preserve">Tiekėjas </w:t>
      </w:r>
      <w:r w:rsidR="00310637" w:rsidRPr="00CF1ED8">
        <w:rPr>
          <w:rFonts w:eastAsia="Times New Roman"/>
          <w:szCs w:val="24"/>
        </w:rPr>
        <w:t xml:space="preserve">privalo užtikrinti turimos SAP programinės įrangos veikimo palaikymo teikimą </w:t>
      </w:r>
      <w:r w:rsidRPr="00CF1ED8">
        <w:rPr>
          <w:rFonts w:eastAsia="Times New Roman"/>
          <w:szCs w:val="24"/>
        </w:rPr>
        <w:t>Pirkimo dokumentuose</w:t>
      </w:r>
      <w:r w:rsidR="00310637" w:rsidRPr="00CF1ED8">
        <w:rPr>
          <w:rFonts w:eastAsia="Times New Roman"/>
          <w:szCs w:val="24"/>
        </w:rPr>
        <w:t xml:space="preserve"> nurodyta tvarka ne trumpiau kaip licencijų gamintojo palaikymo trukmės laikotarpiu.</w:t>
      </w:r>
    </w:p>
    <w:p w14:paraId="68CE67B0" w14:textId="77777777" w:rsidR="00A27D94" w:rsidRPr="00CF1ED8" w:rsidRDefault="00310637" w:rsidP="00CF1ED8">
      <w:pPr>
        <w:numPr>
          <w:ilvl w:val="1"/>
          <w:numId w:val="1"/>
        </w:numPr>
        <w:spacing w:after="0" w:line="240" w:lineRule="auto"/>
        <w:ind w:firstLine="567"/>
        <w:jc w:val="both"/>
        <w:rPr>
          <w:rFonts w:eastAsia="Times New Roman"/>
          <w:szCs w:val="24"/>
        </w:rPr>
      </w:pPr>
      <w:r w:rsidRPr="00CF1ED8">
        <w:rPr>
          <w:rFonts w:eastAsia="Times New Roman"/>
          <w:szCs w:val="24"/>
        </w:rPr>
        <w:t>Numatomi programinės įrangos veikimo palaikymo įvykdymo terminai:</w:t>
      </w:r>
    </w:p>
    <w:tbl>
      <w:tblPr>
        <w:tblStyle w:val="TableGrid3"/>
        <w:tblW w:w="5000" w:type="pct"/>
        <w:tblLook w:val="04A0" w:firstRow="1" w:lastRow="0" w:firstColumn="1" w:lastColumn="0" w:noHBand="0" w:noVBand="1"/>
      </w:tblPr>
      <w:tblGrid>
        <w:gridCol w:w="1309"/>
        <w:gridCol w:w="3628"/>
        <w:gridCol w:w="4691"/>
      </w:tblGrid>
      <w:tr w:rsidR="00310637" w:rsidRPr="00CF1ED8" w14:paraId="68CE67B7" w14:textId="77777777" w:rsidTr="00412B1C">
        <w:tc>
          <w:tcPr>
            <w:tcW w:w="680" w:type="pct"/>
            <w:vAlign w:val="center"/>
          </w:tcPr>
          <w:p w14:paraId="68CE67B4" w14:textId="77777777" w:rsidR="00310637" w:rsidRPr="00CF1ED8" w:rsidRDefault="00310637" w:rsidP="00CF1ED8">
            <w:pPr>
              <w:spacing w:after="0" w:line="240" w:lineRule="auto"/>
              <w:jc w:val="center"/>
              <w:rPr>
                <w:rFonts w:eastAsia="Times New Roman"/>
                <w:b/>
                <w:szCs w:val="24"/>
              </w:rPr>
            </w:pPr>
            <w:r w:rsidRPr="00CF1ED8">
              <w:rPr>
                <w:rFonts w:eastAsia="Times New Roman"/>
                <w:b/>
                <w:szCs w:val="24"/>
              </w:rPr>
              <w:t>Prioritetas</w:t>
            </w:r>
          </w:p>
        </w:tc>
        <w:tc>
          <w:tcPr>
            <w:tcW w:w="1884" w:type="pct"/>
            <w:vAlign w:val="center"/>
          </w:tcPr>
          <w:p w14:paraId="68CE67B5" w14:textId="77777777" w:rsidR="00310637" w:rsidRPr="00CF1ED8" w:rsidRDefault="00310637" w:rsidP="00CF1ED8">
            <w:pPr>
              <w:spacing w:after="0" w:line="240" w:lineRule="auto"/>
              <w:jc w:val="center"/>
              <w:rPr>
                <w:rFonts w:eastAsia="Times New Roman"/>
                <w:b/>
                <w:szCs w:val="24"/>
              </w:rPr>
            </w:pPr>
            <w:r w:rsidRPr="00CF1ED8">
              <w:rPr>
                <w:rFonts w:eastAsia="Times New Roman"/>
                <w:b/>
                <w:szCs w:val="24"/>
              </w:rPr>
              <w:t>Apibūdinimas</w:t>
            </w:r>
          </w:p>
        </w:tc>
        <w:tc>
          <w:tcPr>
            <w:tcW w:w="2437" w:type="pct"/>
            <w:vAlign w:val="center"/>
          </w:tcPr>
          <w:p w14:paraId="68CE67B6" w14:textId="77777777" w:rsidR="00310637" w:rsidRPr="00CF1ED8" w:rsidRDefault="00310637" w:rsidP="00CF1ED8">
            <w:pPr>
              <w:spacing w:after="0" w:line="240" w:lineRule="auto"/>
              <w:jc w:val="center"/>
              <w:rPr>
                <w:rFonts w:eastAsia="Times New Roman"/>
                <w:b/>
                <w:szCs w:val="24"/>
              </w:rPr>
            </w:pPr>
            <w:r w:rsidRPr="00CF1ED8">
              <w:rPr>
                <w:rFonts w:eastAsia="Times New Roman"/>
                <w:b/>
                <w:szCs w:val="24"/>
              </w:rPr>
              <w:t>Atlikimo terminas</w:t>
            </w:r>
          </w:p>
        </w:tc>
      </w:tr>
      <w:tr w:rsidR="00310637" w:rsidRPr="00CF1ED8" w14:paraId="68CE67BC" w14:textId="77777777" w:rsidTr="00412B1C">
        <w:tc>
          <w:tcPr>
            <w:tcW w:w="680" w:type="pct"/>
          </w:tcPr>
          <w:p w14:paraId="68CE67B8" w14:textId="77777777" w:rsidR="00310637" w:rsidRPr="00CF1ED8" w:rsidRDefault="00310637" w:rsidP="00CF1ED8">
            <w:pPr>
              <w:spacing w:line="240" w:lineRule="auto"/>
              <w:rPr>
                <w:rFonts w:eastAsia="Times New Roman"/>
                <w:szCs w:val="24"/>
              </w:rPr>
            </w:pPr>
            <w:r w:rsidRPr="00CF1ED8">
              <w:rPr>
                <w:rFonts w:eastAsia="Times New Roman"/>
                <w:szCs w:val="24"/>
              </w:rPr>
              <w:t>I</w:t>
            </w:r>
          </w:p>
        </w:tc>
        <w:tc>
          <w:tcPr>
            <w:tcW w:w="1884" w:type="pct"/>
          </w:tcPr>
          <w:p w14:paraId="68CE67B9" w14:textId="77777777" w:rsidR="00310637" w:rsidRPr="00CF1ED8" w:rsidRDefault="00310637" w:rsidP="00CF1ED8">
            <w:pPr>
              <w:spacing w:line="240" w:lineRule="auto"/>
              <w:jc w:val="both"/>
              <w:rPr>
                <w:rFonts w:eastAsia="Times New Roman"/>
                <w:szCs w:val="24"/>
              </w:rPr>
            </w:pPr>
            <w:r w:rsidRPr="00CF1ED8">
              <w:rPr>
                <w:rFonts w:eastAsia="Times New Roman"/>
                <w:szCs w:val="24"/>
              </w:rPr>
              <w:t>Programinės įrangos veikimo sutrikimas, dėl kurio UŽSAKOVAS negali atlikti jos vykdomų funkcijų</w:t>
            </w:r>
          </w:p>
        </w:tc>
        <w:tc>
          <w:tcPr>
            <w:tcW w:w="2437" w:type="pct"/>
          </w:tcPr>
          <w:p w14:paraId="68CE67BA" w14:textId="77777777" w:rsidR="00310637" w:rsidRPr="00CF1ED8" w:rsidRDefault="00310637" w:rsidP="00CF1ED8">
            <w:pPr>
              <w:spacing w:line="240" w:lineRule="auto"/>
              <w:jc w:val="both"/>
              <w:rPr>
                <w:rFonts w:eastAsia="Times New Roman"/>
                <w:szCs w:val="24"/>
              </w:rPr>
            </w:pPr>
            <w:r w:rsidRPr="00CF1ED8">
              <w:rPr>
                <w:rFonts w:eastAsia="Times New Roman"/>
                <w:szCs w:val="24"/>
              </w:rPr>
              <w:t xml:space="preserve">Ne daugiau kaip 3 darbo valandos nuo užregistravimo Pagalbos tarnyboje (angl. </w:t>
            </w:r>
            <w:proofErr w:type="spellStart"/>
            <w:r w:rsidRPr="00CF1ED8">
              <w:rPr>
                <w:rFonts w:eastAsia="Times New Roman"/>
                <w:szCs w:val="24"/>
              </w:rPr>
              <w:t>service</w:t>
            </w:r>
            <w:proofErr w:type="spellEnd"/>
            <w:r w:rsidRPr="00CF1ED8">
              <w:rPr>
                <w:rFonts w:eastAsia="Times New Roman"/>
                <w:szCs w:val="24"/>
              </w:rPr>
              <w:t xml:space="preserve"> </w:t>
            </w:r>
            <w:proofErr w:type="spellStart"/>
            <w:r w:rsidRPr="00CF1ED8">
              <w:rPr>
                <w:rFonts w:eastAsia="Times New Roman"/>
                <w:szCs w:val="24"/>
              </w:rPr>
              <w:t>desk</w:t>
            </w:r>
            <w:proofErr w:type="spellEnd"/>
            <w:r w:rsidRPr="00CF1ED8">
              <w:rPr>
                <w:rFonts w:eastAsia="Times New Roman"/>
                <w:szCs w:val="24"/>
              </w:rPr>
              <w:t xml:space="preserve">) momento. </w:t>
            </w:r>
          </w:p>
          <w:p w14:paraId="68CE67BB" w14:textId="77777777" w:rsidR="00310637" w:rsidRPr="00CF1ED8" w:rsidRDefault="00310637" w:rsidP="00CF1ED8">
            <w:pPr>
              <w:spacing w:line="240" w:lineRule="auto"/>
              <w:jc w:val="both"/>
              <w:rPr>
                <w:rFonts w:eastAsia="Times New Roman"/>
                <w:szCs w:val="24"/>
              </w:rPr>
            </w:pPr>
            <w:r w:rsidRPr="00CF1ED8">
              <w:rPr>
                <w:rFonts w:eastAsia="Times New Roman"/>
                <w:szCs w:val="24"/>
              </w:rPr>
              <w:t xml:space="preserve">Jei per 3 darbo valandas probleminio atvejo pašalinti nepavyksta, </w:t>
            </w:r>
            <w:r w:rsidR="00A27D94" w:rsidRPr="00CF1ED8">
              <w:rPr>
                <w:rFonts w:eastAsia="Times New Roman"/>
                <w:szCs w:val="24"/>
              </w:rPr>
              <w:t xml:space="preserve">tiekėjas </w:t>
            </w:r>
            <w:r w:rsidRPr="00CF1ED8">
              <w:rPr>
                <w:rFonts w:eastAsia="Times New Roman"/>
                <w:szCs w:val="24"/>
              </w:rPr>
              <w:t xml:space="preserve">UŽSAKOVUI padeda įvykdyti reikiamas funkcijas alternatyviomis priemonėmis. Tokiu atveju </w:t>
            </w:r>
            <w:r w:rsidR="00A27D94" w:rsidRPr="00CF1ED8">
              <w:rPr>
                <w:rFonts w:eastAsia="Times New Roman"/>
                <w:szCs w:val="24"/>
              </w:rPr>
              <w:t>tiekėjas</w:t>
            </w:r>
            <w:r w:rsidRPr="00CF1ED8">
              <w:rPr>
                <w:rFonts w:eastAsia="Times New Roman"/>
                <w:szCs w:val="24"/>
              </w:rPr>
              <w:t xml:space="preserve"> probleminį atvejį įsipareigoja pašalinti per 8 darbo valandas nuo užregistravimo </w:t>
            </w:r>
            <w:r w:rsidR="00A27D94" w:rsidRPr="00CF1ED8">
              <w:rPr>
                <w:rFonts w:eastAsia="Times New Roman"/>
                <w:szCs w:val="24"/>
              </w:rPr>
              <w:t xml:space="preserve">tiekėjo </w:t>
            </w:r>
            <w:r w:rsidRPr="00CF1ED8">
              <w:rPr>
                <w:rFonts w:eastAsia="Times New Roman"/>
                <w:szCs w:val="24"/>
              </w:rPr>
              <w:t xml:space="preserve">Pagalbos tarnyboje (angl. </w:t>
            </w:r>
            <w:proofErr w:type="spellStart"/>
            <w:r w:rsidRPr="00CF1ED8">
              <w:rPr>
                <w:rFonts w:eastAsia="Times New Roman"/>
                <w:szCs w:val="24"/>
              </w:rPr>
              <w:t>service</w:t>
            </w:r>
            <w:proofErr w:type="spellEnd"/>
            <w:r w:rsidRPr="00CF1ED8">
              <w:rPr>
                <w:rFonts w:eastAsia="Times New Roman"/>
                <w:szCs w:val="24"/>
              </w:rPr>
              <w:t xml:space="preserve"> </w:t>
            </w:r>
            <w:proofErr w:type="spellStart"/>
            <w:r w:rsidRPr="00CF1ED8">
              <w:rPr>
                <w:rFonts w:eastAsia="Times New Roman"/>
                <w:szCs w:val="24"/>
              </w:rPr>
              <w:t>desk</w:t>
            </w:r>
            <w:proofErr w:type="spellEnd"/>
            <w:r w:rsidRPr="00CF1ED8">
              <w:rPr>
                <w:rFonts w:eastAsia="Times New Roman"/>
                <w:szCs w:val="24"/>
              </w:rPr>
              <w:t>) momento.</w:t>
            </w:r>
          </w:p>
        </w:tc>
      </w:tr>
      <w:tr w:rsidR="00310637" w:rsidRPr="00CF1ED8" w14:paraId="68CE67C1" w14:textId="77777777" w:rsidTr="00412B1C">
        <w:tc>
          <w:tcPr>
            <w:tcW w:w="680" w:type="pct"/>
          </w:tcPr>
          <w:p w14:paraId="68CE67BD" w14:textId="77777777" w:rsidR="00310637" w:rsidRPr="00CF1ED8" w:rsidRDefault="00310637" w:rsidP="00CF1ED8">
            <w:pPr>
              <w:spacing w:line="240" w:lineRule="auto"/>
              <w:rPr>
                <w:rFonts w:eastAsia="Times New Roman"/>
                <w:szCs w:val="24"/>
              </w:rPr>
            </w:pPr>
            <w:r w:rsidRPr="00CF1ED8">
              <w:rPr>
                <w:rFonts w:eastAsia="Times New Roman"/>
                <w:szCs w:val="24"/>
              </w:rPr>
              <w:t xml:space="preserve">II </w:t>
            </w:r>
          </w:p>
        </w:tc>
        <w:tc>
          <w:tcPr>
            <w:tcW w:w="1884" w:type="pct"/>
          </w:tcPr>
          <w:p w14:paraId="68CE67BE" w14:textId="77777777" w:rsidR="00310637" w:rsidRPr="00CF1ED8" w:rsidRDefault="00310637" w:rsidP="00CF1ED8">
            <w:pPr>
              <w:spacing w:line="240" w:lineRule="auto"/>
              <w:jc w:val="both"/>
              <w:rPr>
                <w:rFonts w:eastAsia="Times New Roman"/>
                <w:szCs w:val="24"/>
              </w:rPr>
            </w:pPr>
            <w:r w:rsidRPr="00CF1ED8">
              <w:rPr>
                <w:rFonts w:eastAsia="Times New Roman"/>
                <w:szCs w:val="24"/>
              </w:rPr>
              <w:t>Nuolat pasikartojantys programinės įrangos veikimo sutrikimai dėl kurių programinės įrangos veikimas tampa nestabilus ir (ar) nesaugus ir UŽSAKOVAS vykdomų funkcijų negali įvykdyti per įprastą laiką</w:t>
            </w:r>
          </w:p>
        </w:tc>
        <w:tc>
          <w:tcPr>
            <w:tcW w:w="2437" w:type="pct"/>
          </w:tcPr>
          <w:p w14:paraId="68CE67BF" w14:textId="77777777" w:rsidR="00310637" w:rsidRPr="00CF1ED8" w:rsidRDefault="00310637" w:rsidP="00CF1ED8">
            <w:pPr>
              <w:spacing w:line="240" w:lineRule="auto"/>
              <w:jc w:val="both"/>
              <w:rPr>
                <w:rFonts w:eastAsia="Times New Roman"/>
                <w:szCs w:val="24"/>
              </w:rPr>
            </w:pPr>
            <w:r w:rsidRPr="00CF1ED8">
              <w:rPr>
                <w:rFonts w:eastAsia="Times New Roman"/>
                <w:szCs w:val="24"/>
              </w:rPr>
              <w:t xml:space="preserve">Ne daugiau kaip 2 darbo dienos nuo užregistravimo </w:t>
            </w:r>
            <w:r w:rsidR="00A27D94" w:rsidRPr="00CF1ED8">
              <w:rPr>
                <w:rFonts w:eastAsia="Times New Roman"/>
                <w:szCs w:val="24"/>
              </w:rPr>
              <w:t>tiekėjo</w:t>
            </w:r>
            <w:r w:rsidRPr="00CF1ED8">
              <w:rPr>
                <w:rFonts w:eastAsia="Times New Roman"/>
                <w:szCs w:val="24"/>
              </w:rPr>
              <w:t xml:space="preserve"> Pagalbos tarnyboje (angl. </w:t>
            </w:r>
            <w:proofErr w:type="spellStart"/>
            <w:r w:rsidRPr="00CF1ED8">
              <w:rPr>
                <w:rFonts w:eastAsia="Times New Roman"/>
                <w:szCs w:val="24"/>
              </w:rPr>
              <w:t>service</w:t>
            </w:r>
            <w:proofErr w:type="spellEnd"/>
            <w:r w:rsidRPr="00CF1ED8">
              <w:rPr>
                <w:rFonts w:eastAsia="Times New Roman"/>
                <w:szCs w:val="24"/>
              </w:rPr>
              <w:t xml:space="preserve"> </w:t>
            </w:r>
            <w:proofErr w:type="spellStart"/>
            <w:r w:rsidRPr="00CF1ED8">
              <w:rPr>
                <w:rFonts w:eastAsia="Times New Roman"/>
                <w:szCs w:val="24"/>
              </w:rPr>
              <w:t>desk</w:t>
            </w:r>
            <w:proofErr w:type="spellEnd"/>
            <w:r w:rsidRPr="00CF1ED8">
              <w:rPr>
                <w:rFonts w:eastAsia="Times New Roman"/>
                <w:szCs w:val="24"/>
              </w:rPr>
              <w:t>) datos.</w:t>
            </w:r>
          </w:p>
          <w:p w14:paraId="68CE67C0" w14:textId="77777777" w:rsidR="00310637" w:rsidRPr="00CF1ED8" w:rsidRDefault="00310637" w:rsidP="00CF1ED8">
            <w:pPr>
              <w:spacing w:line="240" w:lineRule="auto"/>
              <w:jc w:val="both"/>
              <w:rPr>
                <w:rFonts w:eastAsia="Times New Roman"/>
                <w:szCs w:val="24"/>
              </w:rPr>
            </w:pPr>
            <w:r w:rsidRPr="00CF1ED8">
              <w:rPr>
                <w:rFonts w:eastAsia="Times New Roman"/>
                <w:szCs w:val="24"/>
              </w:rPr>
              <w:t xml:space="preserve">Jei per 2 darbo dienas probleminio atvejo pašalinti nepavyksta, </w:t>
            </w:r>
            <w:r w:rsidR="00A27D94" w:rsidRPr="00CF1ED8">
              <w:rPr>
                <w:rFonts w:eastAsia="Times New Roman"/>
                <w:szCs w:val="24"/>
              </w:rPr>
              <w:t>tiekėjas</w:t>
            </w:r>
            <w:r w:rsidRPr="00CF1ED8">
              <w:rPr>
                <w:rFonts w:eastAsia="Times New Roman"/>
                <w:szCs w:val="24"/>
              </w:rPr>
              <w:t xml:space="preserve"> UŽSAKOVUI padeda įvykdyti reikiamą funkciją alternatyviomis priemonėmis. Tokiu atveju </w:t>
            </w:r>
            <w:r w:rsidR="00A27D94" w:rsidRPr="00CF1ED8">
              <w:rPr>
                <w:rFonts w:eastAsia="Times New Roman"/>
                <w:szCs w:val="24"/>
              </w:rPr>
              <w:t>tiekėjas</w:t>
            </w:r>
            <w:r w:rsidRPr="00CF1ED8">
              <w:rPr>
                <w:rFonts w:eastAsia="Times New Roman"/>
                <w:szCs w:val="24"/>
              </w:rPr>
              <w:t xml:space="preserve"> probleminį atvejį įsipareigoja pašalinti per 5 darbo dienas nuo užregistravimo </w:t>
            </w:r>
            <w:r w:rsidR="00A27D94" w:rsidRPr="00CF1ED8">
              <w:rPr>
                <w:rFonts w:eastAsia="Times New Roman"/>
                <w:szCs w:val="24"/>
              </w:rPr>
              <w:t xml:space="preserve">tiekėjo </w:t>
            </w:r>
            <w:r w:rsidRPr="00CF1ED8">
              <w:rPr>
                <w:rFonts w:eastAsia="Times New Roman"/>
                <w:szCs w:val="24"/>
              </w:rPr>
              <w:t xml:space="preserve">Pagalbos tarnyboje (angl. </w:t>
            </w:r>
            <w:proofErr w:type="spellStart"/>
            <w:r w:rsidRPr="00CF1ED8">
              <w:rPr>
                <w:rFonts w:eastAsia="Times New Roman"/>
                <w:szCs w:val="24"/>
              </w:rPr>
              <w:t>service</w:t>
            </w:r>
            <w:proofErr w:type="spellEnd"/>
            <w:r w:rsidRPr="00CF1ED8">
              <w:rPr>
                <w:rFonts w:eastAsia="Times New Roman"/>
                <w:szCs w:val="24"/>
              </w:rPr>
              <w:t xml:space="preserve"> </w:t>
            </w:r>
            <w:proofErr w:type="spellStart"/>
            <w:r w:rsidRPr="00CF1ED8">
              <w:rPr>
                <w:rFonts w:eastAsia="Times New Roman"/>
                <w:szCs w:val="24"/>
              </w:rPr>
              <w:t>desk</w:t>
            </w:r>
            <w:proofErr w:type="spellEnd"/>
            <w:r w:rsidRPr="00CF1ED8">
              <w:rPr>
                <w:rFonts w:eastAsia="Times New Roman"/>
                <w:szCs w:val="24"/>
              </w:rPr>
              <w:t>) datos.</w:t>
            </w:r>
          </w:p>
        </w:tc>
      </w:tr>
      <w:tr w:rsidR="00310637" w:rsidRPr="00CF1ED8" w14:paraId="68CE67C6" w14:textId="77777777" w:rsidTr="00412B1C">
        <w:trPr>
          <w:trHeight w:val="350"/>
        </w:trPr>
        <w:tc>
          <w:tcPr>
            <w:tcW w:w="680" w:type="pct"/>
            <w:hideMark/>
          </w:tcPr>
          <w:p w14:paraId="68CE67C2" w14:textId="77777777" w:rsidR="00310637" w:rsidRPr="00CF1ED8" w:rsidRDefault="00310637" w:rsidP="00CF1ED8">
            <w:pPr>
              <w:spacing w:line="240" w:lineRule="auto"/>
              <w:rPr>
                <w:rFonts w:eastAsia="Times New Roman"/>
                <w:szCs w:val="24"/>
              </w:rPr>
            </w:pPr>
            <w:r w:rsidRPr="00CF1ED8">
              <w:rPr>
                <w:rFonts w:eastAsia="Times New Roman"/>
                <w:szCs w:val="24"/>
              </w:rPr>
              <w:t xml:space="preserve">III </w:t>
            </w:r>
          </w:p>
        </w:tc>
        <w:tc>
          <w:tcPr>
            <w:tcW w:w="1884" w:type="pct"/>
            <w:hideMark/>
          </w:tcPr>
          <w:p w14:paraId="68CE67C3" w14:textId="77777777" w:rsidR="00310637" w:rsidRPr="00CF1ED8" w:rsidRDefault="00310637" w:rsidP="00CF1ED8">
            <w:pPr>
              <w:spacing w:line="240" w:lineRule="auto"/>
              <w:jc w:val="both"/>
              <w:rPr>
                <w:rFonts w:eastAsia="Times New Roman"/>
                <w:szCs w:val="24"/>
              </w:rPr>
            </w:pPr>
            <w:r w:rsidRPr="00CF1ED8">
              <w:rPr>
                <w:rFonts w:eastAsia="Times New Roman"/>
                <w:szCs w:val="24"/>
              </w:rPr>
              <w:t xml:space="preserve">Programinės įrangos veikimo sutrikimai dėl kurių UŽSAKOVAS funkcijų vykdymą atlieka, tačiau jos atliekamos kitokiu, nei įprastas, nuoseklumu arba gautas rezultatas yra nepilnas, arba gautas rezultatas nesutampa su rezultatu, gautu kitais būdais, arba galimi kai kurių parametrų reikšmių nukrypimai nuo nurodytų IS dokumentuose, </w:t>
            </w:r>
            <w:r w:rsidRPr="00CF1ED8">
              <w:rPr>
                <w:rFonts w:eastAsia="Times New Roman"/>
                <w:szCs w:val="24"/>
              </w:rPr>
              <w:lastRenderedPageBreak/>
              <w:t xml:space="preserve">arba sulėtėja IS veikimas arba gali susidaryti grėsmė elektroninės informacijos saugai </w:t>
            </w:r>
          </w:p>
        </w:tc>
        <w:tc>
          <w:tcPr>
            <w:tcW w:w="2437" w:type="pct"/>
            <w:hideMark/>
          </w:tcPr>
          <w:p w14:paraId="68CE67C4" w14:textId="77777777" w:rsidR="00310637" w:rsidRPr="00CF1ED8" w:rsidRDefault="00310637" w:rsidP="00CF1ED8">
            <w:pPr>
              <w:spacing w:line="240" w:lineRule="auto"/>
              <w:jc w:val="both"/>
              <w:rPr>
                <w:rFonts w:eastAsia="Times New Roman"/>
                <w:szCs w:val="24"/>
              </w:rPr>
            </w:pPr>
            <w:r w:rsidRPr="00CF1ED8">
              <w:rPr>
                <w:rFonts w:eastAsia="Times New Roman"/>
                <w:szCs w:val="24"/>
              </w:rPr>
              <w:lastRenderedPageBreak/>
              <w:t xml:space="preserve">Ne daugiau kaip 5 darbo dienos nuo užregistravimo </w:t>
            </w:r>
            <w:r w:rsidR="00A27D94" w:rsidRPr="00CF1ED8">
              <w:rPr>
                <w:rFonts w:eastAsia="Times New Roman"/>
                <w:szCs w:val="24"/>
              </w:rPr>
              <w:t>tiekėjo</w:t>
            </w:r>
            <w:r w:rsidRPr="00CF1ED8">
              <w:rPr>
                <w:rFonts w:eastAsia="Times New Roman"/>
                <w:szCs w:val="24"/>
              </w:rPr>
              <w:t xml:space="preserve"> Pagalbos tarnyboje (angl. </w:t>
            </w:r>
            <w:proofErr w:type="spellStart"/>
            <w:r w:rsidRPr="00CF1ED8">
              <w:rPr>
                <w:rFonts w:eastAsia="Times New Roman"/>
                <w:szCs w:val="24"/>
              </w:rPr>
              <w:t>service</w:t>
            </w:r>
            <w:proofErr w:type="spellEnd"/>
            <w:r w:rsidRPr="00CF1ED8">
              <w:rPr>
                <w:rFonts w:eastAsia="Times New Roman"/>
                <w:szCs w:val="24"/>
              </w:rPr>
              <w:t xml:space="preserve"> </w:t>
            </w:r>
            <w:proofErr w:type="spellStart"/>
            <w:r w:rsidRPr="00CF1ED8">
              <w:rPr>
                <w:rFonts w:eastAsia="Times New Roman"/>
                <w:szCs w:val="24"/>
              </w:rPr>
              <w:t>desk</w:t>
            </w:r>
            <w:proofErr w:type="spellEnd"/>
            <w:r w:rsidRPr="00CF1ED8">
              <w:rPr>
                <w:rFonts w:eastAsia="Times New Roman"/>
                <w:szCs w:val="24"/>
              </w:rPr>
              <w:t>) datos.</w:t>
            </w:r>
          </w:p>
          <w:p w14:paraId="68CE67C5" w14:textId="77777777" w:rsidR="00310637" w:rsidRPr="00CF1ED8" w:rsidRDefault="00310637" w:rsidP="00CF1ED8">
            <w:pPr>
              <w:spacing w:line="240" w:lineRule="auto"/>
              <w:jc w:val="both"/>
              <w:rPr>
                <w:rFonts w:eastAsia="Times New Roman"/>
                <w:szCs w:val="24"/>
              </w:rPr>
            </w:pPr>
            <w:r w:rsidRPr="00CF1ED8">
              <w:rPr>
                <w:rFonts w:eastAsia="Times New Roman"/>
                <w:szCs w:val="24"/>
              </w:rPr>
              <w:t xml:space="preserve">Jei per 5 darbo dienas probleminio atvejo pašalinti nepavyksta, </w:t>
            </w:r>
            <w:r w:rsidR="00A27D94" w:rsidRPr="00CF1ED8">
              <w:rPr>
                <w:rFonts w:eastAsia="Times New Roman"/>
                <w:szCs w:val="24"/>
              </w:rPr>
              <w:t>tiekėjas</w:t>
            </w:r>
            <w:r w:rsidRPr="00CF1ED8">
              <w:rPr>
                <w:rFonts w:eastAsia="Times New Roman"/>
                <w:szCs w:val="24"/>
              </w:rPr>
              <w:t xml:space="preserve"> UŽSAKOVUI padeda įvykdyti reikiamą funkciją alternatyviomis priemonėmis. Tokiu atveju </w:t>
            </w:r>
            <w:r w:rsidR="00A27D94" w:rsidRPr="00CF1ED8">
              <w:rPr>
                <w:rFonts w:eastAsia="Times New Roman"/>
                <w:szCs w:val="24"/>
              </w:rPr>
              <w:t>tiekėjas</w:t>
            </w:r>
            <w:r w:rsidRPr="00CF1ED8">
              <w:rPr>
                <w:rFonts w:eastAsia="Times New Roman"/>
                <w:szCs w:val="24"/>
              </w:rPr>
              <w:t xml:space="preserve"> probleminį atvejį įsipareigoja pašalinti </w:t>
            </w:r>
            <w:r w:rsidRPr="00CF1ED8">
              <w:rPr>
                <w:rFonts w:eastAsia="Times New Roman"/>
                <w:szCs w:val="24"/>
              </w:rPr>
              <w:lastRenderedPageBreak/>
              <w:t xml:space="preserve">per 10 darbo dienų nuo užregistravimo </w:t>
            </w:r>
            <w:r w:rsidR="00A27D94" w:rsidRPr="00CF1ED8">
              <w:rPr>
                <w:rFonts w:eastAsia="Times New Roman"/>
                <w:szCs w:val="24"/>
              </w:rPr>
              <w:t xml:space="preserve">tiekėjo </w:t>
            </w:r>
            <w:r w:rsidRPr="00CF1ED8">
              <w:rPr>
                <w:rFonts w:eastAsia="Times New Roman"/>
                <w:szCs w:val="24"/>
              </w:rPr>
              <w:t xml:space="preserve">Pagalbos tarnyboje (angl. </w:t>
            </w:r>
            <w:proofErr w:type="spellStart"/>
            <w:r w:rsidRPr="00CF1ED8">
              <w:rPr>
                <w:rFonts w:eastAsia="Times New Roman"/>
                <w:szCs w:val="24"/>
              </w:rPr>
              <w:t>service</w:t>
            </w:r>
            <w:proofErr w:type="spellEnd"/>
            <w:r w:rsidRPr="00CF1ED8">
              <w:rPr>
                <w:rFonts w:eastAsia="Times New Roman"/>
                <w:szCs w:val="24"/>
              </w:rPr>
              <w:t xml:space="preserve"> </w:t>
            </w:r>
            <w:proofErr w:type="spellStart"/>
            <w:r w:rsidRPr="00CF1ED8">
              <w:rPr>
                <w:rFonts w:eastAsia="Times New Roman"/>
                <w:szCs w:val="24"/>
              </w:rPr>
              <w:t>desk</w:t>
            </w:r>
            <w:proofErr w:type="spellEnd"/>
            <w:r w:rsidRPr="00CF1ED8">
              <w:rPr>
                <w:rFonts w:eastAsia="Times New Roman"/>
                <w:szCs w:val="24"/>
              </w:rPr>
              <w:t>) datos.</w:t>
            </w:r>
          </w:p>
        </w:tc>
      </w:tr>
    </w:tbl>
    <w:p w14:paraId="6AA93D94" w14:textId="77777777" w:rsidR="00B914ED" w:rsidRPr="00CF1ED8" w:rsidRDefault="00B914ED" w:rsidP="00CF1ED8">
      <w:pPr>
        <w:spacing w:after="0" w:line="240" w:lineRule="auto"/>
        <w:ind w:firstLine="567"/>
        <w:jc w:val="center"/>
        <w:rPr>
          <w:rFonts w:eastAsia="Times New Roman"/>
          <w:szCs w:val="24"/>
        </w:rPr>
      </w:pPr>
    </w:p>
    <w:p w14:paraId="67CF6DE7" w14:textId="1BCCA444" w:rsidR="00B914ED" w:rsidRDefault="00CF1ED8" w:rsidP="00CF1ED8">
      <w:pPr>
        <w:pStyle w:val="ListParagraph"/>
        <w:numPr>
          <w:ilvl w:val="0"/>
          <w:numId w:val="1"/>
        </w:numPr>
        <w:spacing w:after="0" w:line="240" w:lineRule="auto"/>
        <w:jc w:val="center"/>
        <w:rPr>
          <w:rFonts w:eastAsia="Times New Roman"/>
          <w:b/>
          <w:bCs/>
          <w:szCs w:val="24"/>
        </w:rPr>
      </w:pPr>
      <w:r w:rsidRPr="00CF1ED8">
        <w:rPr>
          <w:rFonts w:eastAsia="Times New Roman"/>
          <w:b/>
          <w:bCs/>
          <w:szCs w:val="24"/>
        </w:rPr>
        <w:t>KITI REIKALAVIMAI</w:t>
      </w:r>
    </w:p>
    <w:p w14:paraId="17000AF8" w14:textId="77777777" w:rsidR="00874766" w:rsidRDefault="00874766" w:rsidP="00874766">
      <w:pPr>
        <w:pStyle w:val="ListParagraph"/>
        <w:spacing w:after="0" w:line="240" w:lineRule="auto"/>
        <w:ind w:left="360"/>
        <w:rPr>
          <w:rFonts w:eastAsia="Times New Roman"/>
          <w:b/>
          <w:bCs/>
          <w:szCs w:val="24"/>
        </w:rPr>
      </w:pPr>
    </w:p>
    <w:p w14:paraId="242D7E34" w14:textId="2BC9B89D" w:rsidR="006D15A8" w:rsidRPr="00874766" w:rsidRDefault="00874766" w:rsidP="00874766">
      <w:pPr>
        <w:pStyle w:val="ListParagraph"/>
        <w:numPr>
          <w:ilvl w:val="1"/>
          <w:numId w:val="1"/>
        </w:numPr>
        <w:spacing w:after="0" w:line="240" w:lineRule="auto"/>
        <w:jc w:val="both"/>
        <w:rPr>
          <w:rFonts w:eastAsia="Times New Roman"/>
          <w:szCs w:val="24"/>
        </w:rPr>
      </w:pPr>
      <w:r w:rsidRPr="00874766">
        <w:rPr>
          <w:rFonts w:eastAsia="Times New Roman"/>
          <w:szCs w:val="24"/>
        </w:rPr>
        <w:t xml:space="preserve">Atliekamas žaliasis pirkimas. Pirkimas </w:t>
      </w:r>
      <w:r w:rsidR="00C9217A">
        <w:rPr>
          <w:rFonts w:eastAsia="Times New Roman"/>
          <w:szCs w:val="24"/>
        </w:rPr>
        <w:t>laikomas žaliuoju</w:t>
      </w:r>
      <w:r w:rsidRPr="00874766">
        <w:rPr>
          <w:rFonts w:eastAsia="Times New Roman"/>
          <w:szCs w:val="24"/>
        </w:rPr>
        <w:t xml:space="preserve"> vadovaujantis Lietuvos Respublikos aplinkos ministro 2011 m. birželio 28 d. įsakymo Nr. D1-508 „Dėl aplinkos apsaugos kriterijų taikymo, vykdant žaliuosius pirkimus, tvarkos aprašo patvirtinimo“ (aktuali redakcija 2022 m. gruodžio 13 d. įsakymas Nr. D1-401) 4 punkto 4.4.3. papunkčiu.</w:t>
      </w:r>
    </w:p>
    <w:p w14:paraId="68CE67C7" w14:textId="0C31B995" w:rsidR="009E6CFE" w:rsidRPr="00F30E7F" w:rsidRDefault="009E6CFE" w:rsidP="009E6CFE">
      <w:pPr>
        <w:spacing w:after="0" w:line="240" w:lineRule="auto"/>
        <w:ind w:firstLine="567"/>
        <w:jc w:val="center"/>
        <w:rPr>
          <w:rFonts w:eastAsia="Times New Roman"/>
          <w:szCs w:val="24"/>
        </w:rPr>
      </w:pPr>
      <w:r>
        <w:rPr>
          <w:rFonts w:eastAsia="Times New Roman"/>
          <w:szCs w:val="24"/>
        </w:rPr>
        <w:t>__________________</w:t>
      </w:r>
    </w:p>
    <w:sectPr w:rsidR="009E6CFE" w:rsidRPr="00F30E7F" w:rsidSect="00000049">
      <w:headerReference w:type="default" r:id="rId8"/>
      <w:footerReference w:type="default" r:id="rId9"/>
      <w:pgSz w:w="11906" w:h="16838"/>
      <w:pgMar w:top="1134" w:right="567" w:bottom="1134" w:left="1701" w:header="567" w:footer="41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1E17A" w14:textId="77777777" w:rsidR="00B655AD" w:rsidRDefault="00B655AD" w:rsidP="00A27D94">
      <w:pPr>
        <w:spacing w:after="0" w:line="240" w:lineRule="auto"/>
      </w:pPr>
      <w:r>
        <w:separator/>
      </w:r>
    </w:p>
  </w:endnote>
  <w:endnote w:type="continuationSeparator" w:id="0">
    <w:p w14:paraId="7456136E" w14:textId="77777777" w:rsidR="00B655AD" w:rsidRDefault="00B655AD" w:rsidP="00A27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522126"/>
      <w:docPartObj>
        <w:docPartGallery w:val="Page Numbers (Bottom of Page)"/>
        <w:docPartUnique/>
      </w:docPartObj>
    </w:sdtPr>
    <w:sdtEndPr/>
    <w:sdtContent>
      <w:p w14:paraId="68CE67CE" w14:textId="22549675" w:rsidR="002C3CD0" w:rsidRDefault="002C3CD0">
        <w:pPr>
          <w:pStyle w:val="Footer"/>
          <w:jc w:val="right"/>
        </w:pPr>
        <w:r>
          <w:fldChar w:fldCharType="begin"/>
        </w:r>
        <w:r>
          <w:instrText>PAGE   \* MERGEFORMAT</w:instrText>
        </w:r>
        <w:r>
          <w:fldChar w:fldCharType="separate"/>
        </w:r>
        <w:r w:rsidR="00D70816">
          <w:rPr>
            <w:noProof/>
          </w:rPr>
          <w:t>1</w:t>
        </w:r>
        <w:r>
          <w:fldChar w:fldCharType="end"/>
        </w:r>
      </w:p>
    </w:sdtContent>
  </w:sdt>
  <w:p w14:paraId="68CE67CF" w14:textId="77777777" w:rsidR="002C3CD0" w:rsidRDefault="002C3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77637" w14:textId="77777777" w:rsidR="00B655AD" w:rsidRDefault="00B655AD" w:rsidP="00A27D94">
      <w:pPr>
        <w:spacing w:after="0" w:line="240" w:lineRule="auto"/>
      </w:pPr>
      <w:r>
        <w:separator/>
      </w:r>
    </w:p>
  </w:footnote>
  <w:footnote w:type="continuationSeparator" w:id="0">
    <w:p w14:paraId="271F1702" w14:textId="77777777" w:rsidR="00B655AD" w:rsidRDefault="00B655AD" w:rsidP="00A27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E67CC" w14:textId="5321F468" w:rsidR="00A27D94" w:rsidRPr="00A70199" w:rsidRDefault="00903047" w:rsidP="00652C38">
    <w:pPr>
      <w:pStyle w:val="Header"/>
      <w:jc w:val="right"/>
      <w:rPr>
        <w:szCs w:val="24"/>
      </w:rPr>
    </w:pPr>
    <w:r>
      <w:rPr>
        <w:szCs w:val="24"/>
      </w:rPr>
      <w:t>Sutarties</w:t>
    </w:r>
    <w:r w:rsidR="00652C38" w:rsidRPr="00A70199">
      <w:rPr>
        <w:szCs w:val="24"/>
      </w:rPr>
      <w:t xml:space="preserve"> priedas</w:t>
    </w:r>
    <w:r>
      <w:rPr>
        <w:szCs w:val="24"/>
      </w:rPr>
      <w:t xml:space="preserve"> Nr. 1</w:t>
    </w:r>
    <w:r w:rsidR="00652C38" w:rsidRPr="00A70199">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3D2"/>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E31553"/>
    <w:multiLevelType w:val="hybridMultilevel"/>
    <w:tmpl w:val="AAEE00F4"/>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CB12BD8"/>
    <w:multiLevelType w:val="hybridMultilevel"/>
    <w:tmpl w:val="AAEE00F4"/>
    <w:lvl w:ilvl="0" w:tplc="FFFFFFFF">
      <w:start w:val="1"/>
      <w:numFmt w:val="decimal"/>
      <w:lvlText w:val="%1."/>
      <w:lvlJc w:val="left"/>
      <w:pPr>
        <w:ind w:left="1211" w:hanging="360"/>
      </w:p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3CF66DC0"/>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2805D13"/>
    <w:multiLevelType w:val="multilevel"/>
    <w:tmpl w:val="0A7A3DAA"/>
    <w:lvl w:ilvl="0">
      <w:start w:val="1"/>
      <w:numFmt w:val="decimal"/>
      <w:lvlText w:val="%1."/>
      <w:lvlJc w:val="left"/>
      <w:pPr>
        <w:ind w:left="360" w:hanging="360"/>
      </w:pPr>
      <w:rPr>
        <w:rFonts w:hint="default"/>
        <w:b/>
      </w:rPr>
    </w:lvl>
    <w:lvl w:ilvl="1">
      <w:start w:val="1"/>
      <w:numFmt w:val="decimal"/>
      <w:suff w:val="space"/>
      <w:lvlText w:val="%1.%2."/>
      <w:lvlJc w:val="left"/>
      <w:pPr>
        <w:ind w:left="0" w:firstLine="340"/>
      </w:pPr>
      <w:rPr>
        <w:rFonts w:hint="default"/>
        <w:b w:val="0"/>
      </w:rPr>
    </w:lvl>
    <w:lvl w:ilvl="2">
      <w:start w:val="1"/>
      <w:numFmt w:val="decimal"/>
      <w:suff w:val="space"/>
      <w:lvlText w:val="%1.%2.%3."/>
      <w:lvlJc w:val="left"/>
      <w:pPr>
        <w:ind w:left="0" w:firstLine="340"/>
      </w:pPr>
      <w:rPr>
        <w:rFonts w:hint="default"/>
        <w:b w:val="0"/>
      </w:rPr>
    </w:lvl>
    <w:lvl w:ilvl="3">
      <w:start w:val="1"/>
      <w:numFmt w:val="decimal"/>
      <w:lvlText w:val="%1.%2.%3.%4."/>
      <w:lvlJc w:val="left"/>
      <w:pPr>
        <w:ind w:left="0" w:firstLine="34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975C28"/>
    <w:multiLevelType w:val="hybridMultilevel"/>
    <w:tmpl w:val="A63E0EFA"/>
    <w:lvl w:ilvl="0" w:tplc="4FF276B6">
      <w:start w:val="1"/>
      <w:numFmt w:val="decimal"/>
      <w:lvlText w:val="%1."/>
      <w:lvlJc w:val="left"/>
      <w:pPr>
        <w:ind w:left="0" w:firstLine="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ECD28DD"/>
    <w:multiLevelType w:val="multilevel"/>
    <w:tmpl w:val="71B6B03A"/>
    <w:lvl w:ilvl="0">
      <w:start w:val="1"/>
      <w:numFmt w:val="decimal"/>
      <w:lvlText w:val="%1."/>
      <w:lvlJc w:val="left"/>
      <w:pPr>
        <w:ind w:left="360" w:hanging="36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367451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554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410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665972">
    <w:abstractNumId w:val="5"/>
  </w:num>
  <w:num w:numId="5" w16cid:durableId="1478034489">
    <w:abstractNumId w:val="1"/>
  </w:num>
  <w:num w:numId="6" w16cid:durableId="202182046">
    <w:abstractNumId w:val="3"/>
  </w:num>
  <w:num w:numId="7" w16cid:durableId="1089034870">
    <w:abstractNumId w:val="0"/>
  </w:num>
  <w:num w:numId="8" w16cid:durableId="58484570">
    <w:abstractNumId w:val="4"/>
  </w:num>
  <w:num w:numId="9" w16cid:durableId="1176386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637"/>
    <w:rsid w:val="00000049"/>
    <w:rsid w:val="00016828"/>
    <w:rsid w:val="00061446"/>
    <w:rsid w:val="00097772"/>
    <w:rsid w:val="000C344E"/>
    <w:rsid w:val="000E17AC"/>
    <w:rsid w:val="000F257E"/>
    <w:rsid w:val="001153DB"/>
    <w:rsid w:val="0013110B"/>
    <w:rsid w:val="001365D6"/>
    <w:rsid w:val="00146014"/>
    <w:rsid w:val="001550A4"/>
    <w:rsid w:val="0016485E"/>
    <w:rsid w:val="00170D96"/>
    <w:rsid w:val="001C5483"/>
    <w:rsid w:val="001D4C54"/>
    <w:rsid w:val="001D6507"/>
    <w:rsid w:val="001E0BB2"/>
    <w:rsid w:val="00201959"/>
    <w:rsid w:val="00233758"/>
    <w:rsid w:val="00236F0B"/>
    <w:rsid w:val="0026698F"/>
    <w:rsid w:val="00296A8F"/>
    <w:rsid w:val="002C3CD0"/>
    <w:rsid w:val="002C4407"/>
    <w:rsid w:val="002E009A"/>
    <w:rsid w:val="002E7E47"/>
    <w:rsid w:val="00310637"/>
    <w:rsid w:val="00331EA5"/>
    <w:rsid w:val="00412B1C"/>
    <w:rsid w:val="00425F18"/>
    <w:rsid w:val="0042669B"/>
    <w:rsid w:val="00436700"/>
    <w:rsid w:val="00470AAF"/>
    <w:rsid w:val="004803C9"/>
    <w:rsid w:val="00484126"/>
    <w:rsid w:val="0048713D"/>
    <w:rsid w:val="00494CDB"/>
    <w:rsid w:val="004C632D"/>
    <w:rsid w:val="004D2612"/>
    <w:rsid w:val="005059C7"/>
    <w:rsid w:val="00533621"/>
    <w:rsid w:val="00591CBF"/>
    <w:rsid w:val="005A5DD8"/>
    <w:rsid w:val="005E04BF"/>
    <w:rsid w:val="00651054"/>
    <w:rsid w:val="00652C38"/>
    <w:rsid w:val="00680E71"/>
    <w:rsid w:val="00691042"/>
    <w:rsid w:val="00693303"/>
    <w:rsid w:val="00696625"/>
    <w:rsid w:val="006C59E9"/>
    <w:rsid w:val="006D12D6"/>
    <w:rsid w:val="006D15A8"/>
    <w:rsid w:val="0073730C"/>
    <w:rsid w:val="00776FEF"/>
    <w:rsid w:val="00785CF0"/>
    <w:rsid w:val="0078637E"/>
    <w:rsid w:val="007E6A03"/>
    <w:rsid w:val="00853FB7"/>
    <w:rsid w:val="0087227D"/>
    <w:rsid w:val="00874766"/>
    <w:rsid w:val="00891517"/>
    <w:rsid w:val="008F2D03"/>
    <w:rsid w:val="00903047"/>
    <w:rsid w:val="009A519C"/>
    <w:rsid w:val="009A6566"/>
    <w:rsid w:val="009E6CFE"/>
    <w:rsid w:val="00A27D94"/>
    <w:rsid w:val="00A6475B"/>
    <w:rsid w:val="00A65F60"/>
    <w:rsid w:val="00A70199"/>
    <w:rsid w:val="00AA0CB9"/>
    <w:rsid w:val="00AC63C5"/>
    <w:rsid w:val="00AD24A6"/>
    <w:rsid w:val="00B04F31"/>
    <w:rsid w:val="00B13460"/>
    <w:rsid w:val="00B175FE"/>
    <w:rsid w:val="00B655AD"/>
    <w:rsid w:val="00B87EF1"/>
    <w:rsid w:val="00B914ED"/>
    <w:rsid w:val="00B97AC9"/>
    <w:rsid w:val="00BB6D11"/>
    <w:rsid w:val="00C420EB"/>
    <w:rsid w:val="00C71606"/>
    <w:rsid w:val="00C9217A"/>
    <w:rsid w:val="00CF1ED8"/>
    <w:rsid w:val="00D272CB"/>
    <w:rsid w:val="00D52E80"/>
    <w:rsid w:val="00D70816"/>
    <w:rsid w:val="00D77B45"/>
    <w:rsid w:val="00E441FF"/>
    <w:rsid w:val="00E739E2"/>
    <w:rsid w:val="00EA5F6A"/>
    <w:rsid w:val="00EB77EB"/>
    <w:rsid w:val="00ED15D4"/>
    <w:rsid w:val="00F2775B"/>
    <w:rsid w:val="00F33334"/>
    <w:rsid w:val="00F4514F"/>
    <w:rsid w:val="00F65750"/>
    <w:rsid w:val="00F738F7"/>
    <w:rsid w:val="00F92141"/>
    <w:rsid w:val="00F92355"/>
    <w:rsid w:val="00FC5AEE"/>
    <w:rsid w:val="00FF0F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E676C"/>
  <w15:docId w15:val="{7354D3DD-692D-4610-A381-6F96D6111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637"/>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31063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10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27D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7D94"/>
    <w:rPr>
      <w:rFonts w:ascii="Times New Roman" w:eastAsia="Calibri" w:hAnsi="Times New Roman" w:cs="Times New Roman"/>
      <w:sz w:val="24"/>
    </w:rPr>
  </w:style>
  <w:style w:type="paragraph" w:styleId="Footer">
    <w:name w:val="footer"/>
    <w:basedOn w:val="Normal"/>
    <w:link w:val="FooterChar"/>
    <w:uiPriority w:val="99"/>
    <w:unhideWhenUsed/>
    <w:rsid w:val="00A27D94"/>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7D94"/>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A27D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D94"/>
    <w:rPr>
      <w:rFonts w:ascii="Tahoma" w:eastAsia="Calibri" w:hAnsi="Tahoma" w:cs="Tahoma"/>
      <w:sz w:val="16"/>
      <w:szCs w:val="16"/>
    </w:rPr>
  </w:style>
  <w:style w:type="character" w:styleId="CommentReference">
    <w:name w:val="annotation reference"/>
    <w:basedOn w:val="DefaultParagraphFont"/>
    <w:uiPriority w:val="99"/>
    <w:semiHidden/>
    <w:unhideWhenUsed/>
    <w:rsid w:val="00A27D94"/>
    <w:rPr>
      <w:sz w:val="16"/>
      <w:szCs w:val="16"/>
    </w:rPr>
  </w:style>
  <w:style w:type="paragraph" w:styleId="CommentText">
    <w:name w:val="annotation text"/>
    <w:basedOn w:val="Normal"/>
    <w:link w:val="CommentTextChar"/>
    <w:uiPriority w:val="99"/>
    <w:unhideWhenUsed/>
    <w:rsid w:val="00A27D94"/>
    <w:pPr>
      <w:spacing w:line="240" w:lineRule="auto"/>
    </w:pPr>
    <w:rPr>
      <w:sz w:val="20"/>
      <w:szCs w:val="20"/>
    </w:rPr>
  </w:style>
  <w:style w:type="character" w:customStyle="1" w:styleId="CommentTextChar">
    <w:name w:val="Comment Text Char"/>
    <w:basedOn w:val="DefaultParagraphFont"/>
    <w:link w:val="CommentText"/>
    <w:uiPriority w:val="99"/>
    <w:rsid w:val="00A27D94"/>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7D94"/>
    <w:rPr>
      <w:b/>
      <w:bCs/>
    </w:rPr>
  </w:style>
  <w:style w:type="character" w:customStyle="1" w:styleId="CommentSubjectChar">
    <w:name w:val="Comment Subject Char"/>
    <w:basedOn w:val="CommentTextChar"/>
    <w:link w:val="CommentSubject"/>
    <w:uiPriority w:val="99"/>
    <w:semiHidden/>
    <w:rsid w:val="00A27D94"/>
    <w:rPr>
      <w:rFonts w:ascii="Times New Roman" w:eastAsia="Calibri" w:hAnsi="Times New Roman" w:cs="Times New Roman"/>
      <w:b/>
      <w:bCs/>
      <w:sz w:val="20"/>
      <w:szCs w:val="20"/>
    </w:rPr>
  </w:style>
  <w:style w:type="paragraph" w:styleId="ListParagraph">
    <w:name w:val="List Paragraph"/>
    <w:aliases w:val="Buletai,Bullet EY,List Paragraph21,List Paragraph1,List Paragraph2,lp1,Bullet 1,Use Case List Paragraph,Numbering,ERP-List Paragraph,List Paragraph11,List Paragraph111,List Paragraph Red,List not in Table,Paragraph,Lentele,List L1"/>
    <w:basedOn w:val="Normal"/>
    <w:link w:val="ListParagraphChar"/>
    <w:uiPriority w:val="34"/>
    <w:qFormat/>
    <w:rsid w:val="00A27D94"/>
    <w:pPr>
      <w:ind w:left="720"/>
      <w:contextualSpacing/>
    </w:pPr>
  </w:style>
  <w:style w:type="paragraph" w:styleId="FootnoteText">
    <w:name w:val="footnote text"/>
    <w:basedOn w:val="Normal"/>
    <w:link w:val="FootnoteTextChar"/>
    <w:uiPriority w:val="99"/>
    <w:unhideWhenUsed/>
    <w:rsid w:val="00EA5F6A"/>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EA5F6A"/>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B914ED"/>
    <w:rPr>
      <w:rFonts w:ascii="Times New Roman" w:eastAsia="Calibri" w:hAnsi="Times New Roman" w:cs="Times New Roman"/>
      <w:sz w:val="24"/>
    </w:rPr>
  </w:style>
  <w:style w:type="paragraph" w:styleId="Revision">
    <w:name w:val="Revision"/>
    <w:hidden/>
    <w:uiPriority w:val="99"/>
    <w:semiHidden/>
    <w:rsid w:val="004D2612"/>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3BA29-FB68-4E46-B421-67EBD5EEC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3520</Words>
  <Characters>2007</Characters>
  <Application>Microsoft Office Word</Application>
  <DocSecurity>0</DocSecurity>
  <Lines>16</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sąlygų 2 priedas „Techninė specifikacija“</vt:lpstr>
      <vt:lpstr>3 VLK PD TS</vt:lpstr>
    </vt:vector>
  </TitlesOfParts>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2 priedas „Techninė specifikacija“</dc:title>
  <cp:lastModifiedBy>Kamilė Mockevičiūtė</cp:lastModifiedBy>
  <cp:revision>23</cp:revision>
  <cp:lastPrinted>2018-05-24T13:30:00Z</cp:lastPrinted>
  <dcterms:created xsi:type="dcterms:W3CDTF">2019-11-12T11:45:00Z</dcterms:created>
  <dcterms:modified xsi:type="dcterms:W3CDTF">2025-12-11T13:26:00Z</dcterms:modified>
</cp:coreProperties>
</file>