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rekonstravimas/_layouts/15/DocIdRedir.aspx?ID=PVIS-1940176663-192</Url>
      <Description>PVIS-1940176663-192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FDEFF-3046-4E35-9B80-DDD0C1329ADF}"/>
</file>

<file path=customXml/itemProps3.xml><?xml version="1.0" encoding="utf-8"?>
<ds:datastoreItem xmlns:ds="http://schemas.openxmlformats.org/officeDocument/2006/customXml" ds:itemID="{B0E137FD-1735-4D84-8BE9-B9DA47F99732}"/>
</file>

<file path=customXml/itemProps4.xml><?xml version="1.0" encoding="utf-8"?>
<ds:datastoreItem xmlns:ds="http://schemas.openxmlformats.org/officeDocument/2006/customXml" ds:itemID="{7EDFE2E8-EA0A-41E5-8ADB-A4D36320AF3C}"/>
</file>

<file path=customXml/itemProps5.xml><?xml version="1.0" encoding="utf-8"?>
<ds:datastoreItem xmlns:ds="http://schemas.openxmlformats.org/officeDocument/2006/customXml" ds:itemID="{128D2103-5C9A-4FDB-9F4F-B82A60F9B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3aad4029-7cbe-4355-931f-c801c070a31b</vt:lpwstr>
  </property>
</Properties>
</file>