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770"/>
      </w:tblGrid>
      <w:tr w:rsidR="00BD30D4" w14:paraId="23E122CD" w14:textId="77777777" w:rsidTr="00C134F1">
        <w:tc>
          <w:tcPr>
            <w:tcW w:w="4863" w:type="dxa"/>
          </w:tcPr>
          <w:p w14:paraId="2E16BBE8" w14:textId="77777777" w:rsidR="00BD30D4" w:rsidRPr="00F303E6" w:rsidRDefault="00BD30D4" w:rsidP="00C134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3E6">
              <w:rPr>
                <w:rFonts w:ascii="Arial" w:hAnsi="Arial" w:cs="Arial"/>
                <w:b/>
                <w:bCs/>
              </w:rPr>
              <w:t>TECHNINĖ SPECIFIKACIJA</w:t>
            </w:r>
          </w:p>
          <w:p w14:paraId="39338E78" w14:textId="77777777" w:rsidR="00BD30D4" w:rsidRPr="00F303E6" w:rsidRDefault="00BD30D4" w:rsidP="00C134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3E6">
              <w:rPr>
                <w:rFonts w:ascii="Arial" w:hAnsi="Arial" w:cs="Arial"/>
                <w:b/>
                <w:bCs/>
              </w:rPr>
              <w:t>IR RIZIKOS APRAŠYMAS</w:t>
            </w:r>
          </w:p>
          <w:p w14:paraId="09ED6D9C" w14:textId="77777777" w:rsidR="00BD30D4" w:rsidRPr="00F303E6" w:rsidRDefault="00BD30D4" w:rsidP="00C134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5" w:type="dxa"/>
          </w:tcPr>
          <w:p w14:paraId="7492AF3E" w14:textId="77777777" w:rsidR="00BD30D4" w:rsidRPr="00F303E6" w:rsidRDefault="00BD30D4" w:rsidP="00C134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303E6">
              <w:rPr>
                <w:rFonts w:ascii="Arial" w:hAnsi="Arial" w:cs="Arial"/>
                <w:b/>
                <w:bCs/>
              </w:rPr>
              <w:t>TECHNICAL SPECIFICATION</w:t>
            </w:r>
          </w:p>
          <w:p w14:paraId="3A59D8DB" w14:textId="77777777" w:rsidR="00BD30D4" w:rsidRPr="00F303E6" w:rsidRDefault="00BD30D4" w:rsidP="00C134F1">
            <w:pPr>
              <w:jc w:val="center"/>
              <w:rPr>
                <w:rFonts w:ascii="Arial" w:hAnsi="Arial" w:cs="Arial"/>
              </w:rPr>
            </w:pPr>
            <w:r w:rsidRPr="00F303E6">
              <w:rPr>
                <w:rFonts w:ascii="Arial" w:hAnsi="Arial" w:cs="Arial"/>
                <w:b/>
                <w:bCs/>
              </w:rPr>
              <w:t>AND RISK INFORMATION</w:t>
            </w:r>
          </w:p>
        </w:tc>
      </w:tr>
      <w:tr w:rsidR="00BD30D4" w14:paraId="4CC5E83B" w14:textId="77777777" w:rsidTr="00C134F1">
        <w:tc>
          <w:tcPr>
            <w:tcW w:w="4863" w:type="dxa"/>
          </w:tcPr>
          <w:p w14:paraId="0F00D2C4" w14:textId="77777777" w:rsidR="00BD30D4" w:rsidRPr="008D42DF" w:rsidRDefault="00BD30D4" w:rsidP="00C134F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b/>
                <w:iCs/>
                <w:sz w:val="20"/>
                <w:szCs w:val="20"/>
              </w:rPr>
            </w:pPr>
            <w:r w:rsidRPr="008D42DF">
              <w:rPr>
                <w:rFonts w:cs="Arial"/>
                <w:b/>
                <w:iCs/>
                <w:sz w:val="20"/>
                <w:szCs w:val="20"/>
              </w:rPr>
              <w:t>Pradinė informacija</w:t>
            </w:r>
          </w:p>
          <w:p w14:paraId="2DA256D6" w14:textId="77777777" w:rsidR="00BD30D4" w:rsidRPr="00E06CEE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23"/>
              <w:gridCol w:w="3029"/>
            </w:tblGrid>
            <w:tr w:rsidR="00BD30D4" w:rsidRPr="00E06CEE" w14:paraId="1CEA8B2F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A1AF8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Draudėjas: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B198404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Ignitis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grupės paslaugų centras, UAB</w:t>
                  </w:r>
                </w:p>
              </w:tc>
            </w:tr>
            <w:tr w:rsidR="00BD30D4" w:rsidRPr="00E06CEE" w14:paraId="369BBD1F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A5C1E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Adresas: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5DCE720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A. Juozapavičiaus str. 13, Vilnius, Lithuania</w:t>
                  </w:r>
                </w:p>
              </w:tc>
            </w:tr>
            <w:tr w:rsidR="00BD30D4" w:rsidRPr="00E06CEE" w14:paraId="321A28AA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329E7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Pašto kodas: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75B3C03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LT-09311</w:t>
                  </w:r>
                </w:p>
              </w:tc>
            </w:tr>
            <w:tr w:rsidR="00BD30D4" w:rsidRPr="00E06CEE" w14:paraId="1CED72D5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6D8FA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Korespondencijos adresas: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60EB2C8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Žvejų str. 14, Vilnius, Lithuania</w:t>
                  </w:r>
                </w:p>
              </w:tc>
            </w:tr>
            <w:tr w:rsidR="00BD30D4" w:rsidRPr="00E06CEE" w14:paraId="574C77EC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B167D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Telefono numeris: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7AB3B2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+370 5 2782272</w:t>
                  </w:r>
                </w:p>
              </w:tc>
            </w:tr>
            <w:tr w:rsidR="00BD30D4" w:rsidRPr="00E06CEE" w14:paraId="50B18CB9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184C8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Elektroninis paštas: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E6FC3A5" w14:textId="77777777" w:rsidR="00BD30D4" w:rsidRPr="00E06CEE" w:rsidRDefault="006A58AD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7" w:history="1">
                    <w:r w:rsidR="00BD30D4" w:rsidRPr="00E06CEE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gpc@ignitis.lt</w:t>
                    </w:r>
                  </w:hyperlink>
                </w:p>
              </w:tc>
            </w:tr>
            <w:tr w:rsidR="00BD30D4" w:rsidRPr="00E06CEE" w14:paraId="1AC00E23" w14:textId="77777777" w:rsidTr="00C134F1">
              <w:trPr>
                <w:trHeight w:val="444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071BE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Internetinis puslapis: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2C86C60" w14:textId="77777777" w:rsidR="00BD30D4" w:rsidRPr="00E06CEE" w:rsidRDefault="006A58AD" w:rsidP="00C134F1">
                  <w:pPr>
                    <w:spacing w:before="240"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8" w:history="1">
                    <w:r w:rsidR="00BD30D4" w:rsidRPr="00E06CEE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https://www.ignitisgrupe.lt/en/ignitis-grupes-paslaugu-centras-uab</w:t>
                    </w:r>
                  </w:hyperlink>
                </w:p>
                <w:p w14:paraId="3DF27D5C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4EB14C7" w14:textId="77777777" w:rsidR="00BD30D4" w:rsidRPr="00E06CEE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988FBBF" w14:textId="77777777" w:rsidR="00BD30D4" w:rsidRPr="00E06CEE" w:rsidRDefault="00BD30D4" w:rsidP="00C134F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b/>
                <w:sz w:val="20"/>
                <w:szCs w:val="20"/>
              </w:rPr>
            </w:pPr>
            <w:r w:rsidRPr="00E06CEE">
              <w:rPr>
                <w:rFonts w:cs="Arial"/>
                <w:b/>
                <w:sz w:val="20"/>
                <w:szCs w:val="20"/>
              </w:rPr>
              <w:t xml:space="preserve">General </w:t>
            </w:r>
            <w:proofErr w:type="spellStart"/>
            <w:r w:rsidRPr="00E06CEE">
              <w:rPr>
                <w:rFonts w:cs="Arial"/>
                <w:b/>
                <w:sz w:val="20"/>
                <w:szCs w:val="20"/>
              </w:rPr>
              <w:t>Information</w:t>
            </w:r>
            <w:proofErr w:type="spellEnd"/>
            <w:r w:rsidRPr="00E06CEE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72EA5FA" w14:textId="77777777" w:rsidR="00BD30D4" w:rsidRPr="00E06CEE" w:rsidRDefault="00BD30D4" w:rsidP="00C134F1">
            <w:pPr>
              <w:pStyle w:val="ListParagraph"/>
              <w:ind w:left="1080" w:firstLine="0"/>
              <w:jc w:val="both"/>
              <w:rPr>
                <w:rFonts w:cs="Arial"/>
                <w:b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25"/>
              <w:gridCol w:w="3029"/>
            </w:tblGrid>
            <w:tr w:rsidR="00BD30D4" w:rsidRPr="00E06CEE" w14:paraId="1A606EA7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24E9F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Insured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Company 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4AF0BB2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Ignitis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grupės paslaugų centras, UAB</w:t>
                  </w:r>
                </w:p>
              </w:tc>
            </w:tr>
            <w:tr w:rsidR="00BD30D4" w:rsidRPr="00E06CEE" w14:paraId="69C41146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1BEFC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Address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C887383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A. Juozapavičiaus str. 13, Vilnius, Lithuania</w:t>
                  </w:r>
                </w:p>
              </w:tc>
            </w:tr>
            <w:tr w:rsidR="00BD30D4" w:rsidRPr="00E06CEE" w14:paraId="4F3C0104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7A7F9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Postal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Code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953CF13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LT-09311</w:t>
                  </w:r>
                </w:p>
              </w:tc>
            </w:tr>
            <w:tr w:rsidR="00BD30D4" w:rsidRPr="00E06CEE" w14:paraId="21F1321F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FCC9F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Correspondence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Address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F59C542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Žvejų str. 14, Vilnius, Lithuania</w:t>
                  </w:r>
                </w:p>
              </w:tc>
            </w:tr>
            <w:tr w:rsidR="00BD30D4" w:rsidRPr="00E06CEE" w14:paraId="51B34F53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C8B21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Telephone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B124FDA" w14:textId="77777777" w:rsidR="00BD30D4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+370 5 2782272</w:t>
                  </w:r>
                </w:p>
                <w:p w14:paraId="588E1005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098800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30D4" w:rsidRPr="00E06CEE" w14:paraId="23FAE14D" w14:textId="77777777" w:rsidTr="00C134F1">
              <w:trPr>
                <w:trHeight w:val="276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70F7F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Email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F1A6E01" w14:textId="77777777" w:rsidR="00BD30D4" w:rsidRPr="00E06CEE" w:rsidRDefault="006A58AD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9" w:history="1">
                    <w:r w:rsidR="00BD30D4" w:rsidRPr="00E06CEE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gpc@ignitis.lt</w:t>
                    </w:r>
                  </w:hyperlink>
                </w:p>
              </w:tc>
            </w:tr>
            <w:tr w:rsidR="00BD30D4" w:rsidRPr="00E06CEE" w14:paraId="007B8335" w14:textId="77777777" w:rsidTr="00C134F1">
              <w:trPr>
                <w:trHeight w:val="444"/>
              </w:trPr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1FEA4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>Website</w:t>
                  </w:r>
                  <w:proofErr w:type="spellEnd"/>
                  <w:r w:rsidRPr="00E06C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3B2D835" w14:textId="77777777" w:rsidR="00BD30D4" w:rsidRPr="00E06CEE" w:rsidRDefault="006A58AD" w:rsidP="00C134F1">
                  <w:pPr>
                    <w:spacing w:before="240"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0" w:history="1">
                    <w:r w:rsidR="00BD30D4" w:rsidRPr="00E06CEE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https://www.ignitisgrupe.lt/en/ignitis-grupes-paslaugu-centras-uab</w:t>
                    </w:r>
                  </w:hyperlink>
                </w:p>
                <w:p w14:paraId="5F1D420B" w14:textId="77777777" w:rsidR="00BD30D4" w:rsidRPr="00E06CEE" w:rsidRDefault="00BD30D4" w:rsidP="00C134F1">
                  <w:pPr>
                    <w:spacing w:line="25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652840" w14:textId="77777777" w:rsidR="00BD30D4" w:rsidRPr="00E06CEE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0D4" w14:paraId="6994ED85" w14:textId="77777777" w:rsidTr="00C134F1">
        <w:tc>
          <w:tcPr>
            <w:tcW w:w="4863" w:type="dxa"/>
          </w:tcPr>
          <w:p w14:paraId="5F6B01A0" w14:textId="77777777" w:rsidR="00BD30D4" w:rsidRPr="00E06CEE" w:rsidRDefault="00BD30D4" w:rsidP="00C134F1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iCs/>
              </w:rPr>
            </w:pPr>
            <w:r w:rsidRPr="00E06CEE">
              <w:rPr>
                <w:rFonts w:cs="Arial"/>
                <w:b/>
                <w:iCs/>
                <w:sz w:val="20"/>
              </w:rPr>
              <w:t xml:space="preserve">Trumpai apie </w:t>
            </w:r>
            <w:proofErr w:type="spellStart"/>
            <w:r w:rsidRPr="00E06CEE">
              <w:rPr>
                <w:rFonts w:cs="Arial"/>
                <w:b/>
                <w:iCs/>
                <w:sz w:val="20"/>
              </w:rPr>
              <w:t>Ignitis</w:t>
            </w:r>
            <w:proofErr w:type="spellEnd"/>
            <w:r w:rsidRPr="00E06CEE">
              <w:rPr>
                <w:rFonts w:cs="Arial"/>
                <w:b/>
                <w:iCs/>
                <w:sz w:val="20"/>
              </w:rPr>
              <w:t xml:space="preserve"> grupės paslaugų centrą</w:t>
            </w:r>
          </w:p>
          <w:p w14:paraId="272A45B9" w14:textId="77777777" w:rsidR="00BD30D4" w:rsidRPr="00E06CEE" w:rsidRDefault="00BD30D4" w:rsidP="00C134F1">
            <w:pPr>
              <w:pStyle w:val="ListParagraph"/>
              <w:ind w:left="1080" w:firstLine="0"/>
              <w:jc w:val="both"/>
              <w:rPr>
                <w:b/>
                <w:iCs/>
              </w:rPr>
            </w:pPr>
          </w:p>
        </w:tc>
        <w:tc>
          <w:tcPr>
            <w:tcW w:w="4765" w:type="dxa"/>
          </w:tcPr>
          <w:p w14:paraId="1BC18195" w14:textId="77777777" w:rsidR="00BD30D4" w:rsidRPr="00E06CEE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6CEE">
              <w:rPr>
                <w:rFonts w:ascii="Arial" w:hAnsi="Arial" w:cs="Arial"/>
                <w:b/>
                <w:sz w:val="20"/>
                <w:szCs w:val="20"/>
              </w:rPr>
              <w:t xml:space="preserve"> II.</w:t>
            </w:r>
            <w:r w:rsidRPr="00E06CEE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Pr="00E06CEE">
              <w:rPr>
                <w:rFonts w:ascii="Arial" w:hAnsi="Arial" w:cs="Arial"/>
                <w:b/>
                <w:sz w:val="20"/>
                <w:szCs w:val="20"/>
              </w:rPr>
              <w:t>Briefly</w:t>
            </w:r>
            <w:proofErr w:type="spellEnd"/>
            <w:r w:rsidRPr="00E06C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proofErr w:type="spellEnd"/>
            <w:r w:rsidRPr="00E06C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b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ascii="Arial" w:hAnsi="Arial" w:cs="Arial"/>
                <w:b/>
                <w:sz w:val="20"/>
                <w:szCs w:val="20"/>
              </w:rPr>
              <w:t xml:space="preserve"> grupės paslaugų centras</w:t>
            </w:r>
          </w:p>
        </w:tc>
      </w:tr>
      <w:tr w:rsidR="00BD30D4" w14:paraId="57F89D72" w14:textId="77777777" w:rsidTr="00C134F1">
        <w:tc>
          <w:tcPr>
            <w:tcW w:w="4863" w:type="dxa"/>
          </w:tcPr>
          <w:p w14:paraId="1168F098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CEE">
              <w:rPr>
                <w:rFonts w:ascii="Arial" w:hAnsi="Arial" w:cs="Arial"/>
                <w:sz w:val="20"/>
                <w:szCs w:val="20"/>
              </w:rPr>
              <w:t xml:space="preserve">Technologijų ir inovacijų centras, UAB įsteigtas 2013.12.04. 2019 m. rugsėjo mėn. Technologijų ir inovacijų centras, UAB pakeitė pavadinimą į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grupės paslaugų centras, UAB. </w:t>
            </w:r>
          </w:p>
          <w:p w14:paraId="01E2B291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CEE">
              <w:rPr>
                <w:rFonts w:ascii="Arial" w:hAnsi="Arial" w:cs="Arial"/>
                <w:sz w:val="20"/>
                <w:szCs w:val="20"/>
              </w:rPr>
              <w:t xml:space="preserve">Nuo 2020 metų sausio 1 dienos Verslo aptarnavimo centras, UAB prisijungė prie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grupės paslaugų centro, UAB.</w:t>
            </w:r>
          </w:p>
        </w:tc>
        <w:tc>
          <w:tcPr>
            <w:tcW w:w="4765" w:type="dxa"/>
          </w:tcPr>
          <w:p w14:paraId="70E912C1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CEE">
              <w:rPr>
                <w:rFonts w:ascii="Arial" w:hAnsi="Arial" w:cs="Arial"/>
                <w:sz w:val="20"/>
                <w:szCs w:val="20"/>
              </w:rPr>
              <w:t xml:space="preserve">Technologijų ir inovacijų centras, UAB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established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04.12.2013.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September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2019 Technologijų ir inovacijų centras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renamed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grupės paslaugų centras, UAB. </w:t>
            </w:r>
          </w:p>
          <w:p w14:paraId="38816B28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CEE">
              <w:rPr>
                <w:rFonts w:ascii="Arial" w:hAnsi="Arial" w:cs="Arial"/>
                <w:sz w:val="20"/>
                <w:szCs w:val="20"/>
              </w:rPr>
              <w:t xml:space="preserve">Verslo aptarnavimo centras, UAB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merged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paslaugų centras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starting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01.01.2020</w:t>
            </w:r>
          </w:p>
        </w:tc>
      </w:tr>
      <w:tr w:rsidR="00BD30D4" w14:paraId="7F73A25F" w14:textId="77777777" w:rsidTr="00C134F1">
        <w:tc>
          <w:tcPr>
            <w:tcW w:w="4863" w:type="dxa"/>
          </w:tcPr>
          <w:p w14:paraId="77BCF5ED" w14:textId="77777777" w:rsidR="00BD30D4" w:rsidRPr="00E06CEE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grupės paslaugų centras, UAB vykdo šias veiklas:</w:t>
            </w:r>
          </w:p>
        </w:tc>
        <w:tc>
          <w:tcPr>
            <w:tcW w:w="4765" w:type="dxa"/>
          </w:tcPr>
          <w:p w14:paraId="27338B4C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Currently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grupės paslaugų centras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provides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</w:p>
        </w:tc>
      </w:tr>
      <w:tr w:rsidR="00BD30D4" w14:paraId="27B01C91" w14:textId="77777777" w:rsidTr="00C134F1">
        <w:tc>
          <w:tcPr>
            <w:tcW w:w="4863" w:type="dxa"/>
          </w:tcPr>
          <w:p w14:paraId="12290675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>Viešųjų pirkimų organizavimas ir vykdymas</w:t>
            </w:r>
          </w:p>
          <w:p w14:paraId="4AE9785E" w14:textId="77777777" w:rsidR="00BD30D4" w:rsidRPr="00E06CEE" w:rsidRDefault="00BD30D4" w:rsidP="00C134F1">
            <w:pPr>
              <w:pStyle w:val="ListParagraph"/>
              <w:ind w:firstLine="0"/>
              <w:jc w:val="both"/>
              <w:rPr>
                <w:rFonts w:cs="Arial"/>
                <w:iCs/>
                <w:sz w:val="20"/>
                <w:szCs w:val="20"/>
              </w:rPr>
            </w:pPr>
          </w:p>
          <w:p w14:paraId="79BB7B06" w14:textId="77777777" w:rsidR="00BD30D4" w:rsidRPr="00E06CEE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>Buhalterinė apskaita</w:t>
            </w:r>
          </w:p>
          <w:p w14:paraId="286B7CF5" w14:textId="77777777" w:rsidR="00BD30D4" w:rsidRPr="00E06CEE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>Žmogiškųjų išteklių administravimas</w:t>
            </w:r>
          </w:p>
          <w:p w14:paraId="3EA58C82" w14:textId="77777777" w:rsidR="00BD30D4" w:rsidRPr="00E06CEE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>Teisinės paslaugos</w:t>
            </w:r>
          </w:p>
          <w:p w14:paraId="700C3855" w14:textId="77777777" w:rsidR="00BD30D4" w:rsidRPr="00E06CEE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>Komunikacija</w:t>
            </w:r>
          </w:p>
          <w:p w14:paraId="1FD9FE4E" w14:textId="77777777" w:rsidR="00BD30D4" w:rsidRPr="00E06CEE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>Turto valdymas</w:t>
            </w:r>
          </w:p>
          <w:p w14:paraId="08FDBFB2" w14:textId="77777777" w:rsidR="00BD30D4" w:rsidRPr="00E06CEE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>Dokumentų valdymas ir administravimas</w:t>
            </w:r>
          </w:p>
          <w:p w14:paraId="09AFBC7A" w14:textId="77777777" w:rsidR="00BD30D4" w:rsidRPr="00E06CEE" w:rsidRDefault="00BD30D4" w:rsidP="00C134F1">
            <w:pPr>
              <w:pStyle w:val="ListParagraph"/>
              <w:numPr>
                <w:ilvl w:val="0"/>
                <w:numId w:val="3"/>
              </w:numPr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t xml:space="preserve">kitos </w:t>
            </w: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grupei teikiamos paslaugos: </w:t>
            </w:r>
            <w:hyperlink r:id="rId11" w:history="1">
              <w:r w:rsidRPr="00E06CEE">
                <w:rPr>
                  <w:rStyle w:val="Hyperlink"/>
                  <w:iCs/>
                  <w:sz w:val="20"/>
                  <w:szCs w:val="20"/>
                </w:rPr>
                <w:t>https://www.ignitisgrupe.lt/en/group-companies</w:t>
              </w:r>
            </w:hyperlink>
            <w:r w:rsidRPr="00E06CEE">
              <w:rPr>
                <w:rFonts w:cs="Arial"/>
                <w:iCs/>
                <w:sz w:val="20"/>
                <w:szCs w:val="20"/>
              </w:rPr>
              <w:t>)</w:t>
            </w:r>
          </w:p>
          <w:p w14:paraId="35DE3943" w14:textId="77777777" w:rsidR="00BD30D4" w:rsidRDefault="00BD30D4" w:rsidP="00C134F1"/>
        </w:tc>
        <w:tc>
          <w:tcPr>
            <w:tcW w:w="4765" w:type="dxa"/>
          </w:tcPr>
          <w:p w14:paraId="294787DF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Public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procurement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organization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and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execution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38344942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i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Accounting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48EB3B3F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color w:val="808080" w:themeColor="background1" w:themeShade="80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Human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resources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034CCAAA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Legal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services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34078904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Communication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20202D35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Asset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management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0D731111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Document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management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and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administration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12625F3E" w14:textId="77777777" w:rsidR="00BD30D4" w:rsidRDefault="00BD30D4" w:rsidP="00C134F1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Other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services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provided</w:t>
            </w:r>
            <w:proofErr w:type="spellEnd"/>
            <w:r>
              <w:rPr>
                <w:rFonts w:cs="Arial"/>
                <w:sz w:val="20"/>
              </w:rPr>
              <w:t xml:space="preserve"> to </w:t>
            </w:r>
            <w:proofErr w:type="spellStart"/>
            <w:r>
              <w:rPr>
                <w:rFonts w:cs="Arial"/>
                <w:sz w:val="20"/>
              </w:rPr>
              <w:t>Ignitis</w:t>
            </w:r>
            <w:proofErr w:type="spellEnd"/>
            <w:r>
              <w:rPr>
                <w:rFonts w:cs="Arial"/>
                <w:sz w:val="20"/>
              </w:rPr>
              <w:t xml:space="preserve"> Group (</w:t>
            </w:r>
            <w:proofErr w:type="spellStart"/>
            <w:r>
              <w:rPr>
                <w:rFonts w:cs="Arial"/>
                <w:sz w:val="20"/>
              </w:rPr>
              <w:t>Ignitis</w:t>
            </w:r>
            <w:proofErr w:type="spellEnd"/>
            <w:r>
              <w:rPr>
                <w:rFonts w:cs="Arial"/>
                <w:sz w:val="20"/>
              </w:rPr>
              <w:t xml:space="preserve"> Group </w:t>
            </w:r>
            <w:proofErr w:type="spellStart"/>
            <w:r>
              <w:rPr>
                <w:rFonts w:cs="Arial"/>
                <w:sz w:val="20"/>
              </w:rPr>
              <w:t>companies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hyperlink r:id="rId12" w:history="1">
              <w:r>
                <w:rPr>
                  <w:rStyle w:val="Hyperlink"/>
                  <w:sz w:val="20"/>
                </w:rPr>
                <w:t>https://www.ignitisgrupe.lt/en/group-companies</w:t>
              </w:r>
            </w:hyperlink>
            <w:r>
              <w:rPr>
                <w:rFonts w:cs="Arial"/>
                <w:sz w:val="20"/>
              </w:rPr>
              <w:t>)</w:t>
            </w:r>
          </w:p>
          <w:p w14:paraId="62EC8B7D" w14:textId="77777777" w:rsidR="00BD30D4" w:rsidRDefault="00BD30D4" w:rsidP="00C134F1"/>
        </w:tc>
      </w:tr>
      <w:tr w:rsidR="00BD30D4" w14:paraId="66F7F8E7" w14:textId="77777777" w:rsidTr="00C134F1">
        <w:tc>
          <w:tcPr>
            <w:tcW w:w="4863" w:type="dxa"/>
          </w:tcPr>
          <w:p w14:paraId="2A44BE91" w14:textId="77777777" w:rsidR="00BD30D4" w:rsidRPr="00E06CEE" w:rsidRDefault="00BD30D4" w:rsidP="00C134F1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iCs/>
                <w:sz w:val="20"/>
                <w:szCs w:val="20"/>
              </w:rPr>
            </w:pPr>
            <w:r w:rsidRPr="00E06CEE">
              <w:rPr>
                <w:rFonts w:cs="Arial"/>
                <w:b/>
                <w:iCs/>
                <w:sz w:val="20"/>
                <w:szCs w:val="20"/>
              </w:rPr>
              <w:t>Akcininkai</w:t>
            </w:r>
          </w:p>
          <w:p w14:paraId="2A4F9CFD" w14:textId="77777777" w:rsidR="00BD30D4" w:rsidRPr="00E06CEE" w:rsidRDefault="00BD30D4" w:rsidP="00C134F1">
            <w:pPr>
              <w:pStyle w:val="ListParagraph"/>
              <w:ind w:firstLine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765" w:type="dxa"/>
          </w:tcPr>
          <w:p w14:paraId="4B46675B" w14:textId="77777777" w:rsidR="00BD30D4" w:rsidRPr="00E06CEE" w:rsidRDefault="00BD30D4" w:rsidP="00C134F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06CE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III. </w:t>
            </w:r>
            <w:proofErr w:type="spellStart"/>
            <w:r w:rsidRPr="00E06CEE">
              <w:rPr>
                <w:rFonts w:ascii="Arial" w:hAnsi="Arial" w:cs="Arial"/>
                <w:b/>
                <w:iCs/>
                <w:sz w:val="20"/>
                <w:szCs w:val="20"/>
              </w:rPr>
              <w:t>Shareholders</w:t>
            </w:r>
            <w:proofErr w:type="spellEnd"/>
          </w:p>
        </w:tc>
      </w:tr>
      <w:tr w:rsidR="00BD30D4" w14:paraId="14B753F1" w14:textId="77777777" w:rsidTr="00C134F1">
        <w:tc>
          <w:tcPr>
            <w:tcW w:w="4863" w:type="dxa"/>
          </w:tcPr>
          <w:p w14:paraId="5214B6DE" w14:textId="77777777" w:rsidR="00BD30D4" w:rsidRPr="00E06CEE" w:rsidRDefault="00BD30D4" w:rsidP="00C134F1">
            <w:pPr>
              <w:pStyle w:val="ListParagraph"/>
              <w:ind w:left="0" w:firstLine="0"/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grupės paslaugų centras akcininkai:</w:t>
            </w:r>
          </w:p>
          <w:p w14:paraId="7FB853A3" w14:textId="77777777" w:rsidR="00BD30D4" w:rsidRPr="00E06CEE" w:rsidRDefault="00BD30D4" w:rsidP="00C134F1">
            <w:pPr>
              <w:pStyle w:val="ListParagraph"/>
              <w:ind w:left="0" w:firstLine="0"/>
              <w:rPr>
                <w:rFonts w:cs="Arial"/>
                <w:iCs/>
                <w:sz w:val="20"/>
                <w:szCs w:val="20"/>
              </w:rPr>
            </w:pPr>
          </w:p>
          <w:p w14:paraId="5D6D911E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grupė – 50,46%</w:t>
            </w:r>
          </w:p>
          <w:p w14:paraId="4F65244F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lastRenderedPageBreak/>
              <w:t>Energijos skirstymo operatorius – 26.40%</w:t>
            </w:r>
          </w:p>
          <w:p w14:paraId="762EC090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gamyba – 21.45%</w:t>
            </w:r>
          </w:p>
          <w:p w14:paraId="7A9E5AA8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– 1.68%.</w:t>
            </w:r>
          </w:p>
          <w:p w14:paraId="2808D319" w14:textId="77777777" w:rsidR="00BD30D4" w:rsidRPr="00E06CEE" w:rsidRDefault="00BD30D4" w:rsidP="00C134F1">
            <w:pPr>
              <w:pStyle w:val="ListParagraph"/>
              <w:ind w:firstLine="0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765" w:type="dxa"/>
          </w:tcPr>
          <w:p w14:paraId="7597277E" w14:textId="77777777" w:rsidR="00BD30D4" w:rsidRPr="00E06CEE" w:rsidRDefault="00BD30D4" w:rsidP="00C134F1">
            <w:pPr>
              <w:pStyle w:val="ListParagraph"/>
              <w:ind w:left="0" w:firstLine="0"/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lastRenderedPageBreak/>
              <w:t>The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shareholders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of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grupės paslaugų centras are:</w:t>
            </w:r>
          </w:p>
          <w:p w14:paraId="42D2FC91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grupė – 50,46%</w:t>
            </w:r>
          </w:p>
          <w:p w14:paraId="333020D1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r w:rsidRPr="00E06CEE">
              <w:rPr>
                <w:rFonts w:cs="Arial"/>
                <w:iCs/>
                <w:sz w:val="20"/>
                <w:szCs w:val="20"/>
              </w:rPr>
              <w:lastRenderedPageBreak/>
              <w:t>Energijos skirstymo operatorius – 26.40%</w:t>
            </w:r>
          </w:p>
          <w:p w14:paraId="5867B91B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gamyba – 21.45%</w:t>
            </w:r>
          </w:p>
          <w:p w14:paraId="1E353014" w14:textId="77777777" w:rsidR="00BD30D4" w:rsidRPr="00E06CEE" w:rsidRDefault="00BD30D4" w:rsidP="00C134F1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20"/>
                <w:szCs w:val="20"/>
              </w:rPr>
            </w:pPr>
            <w:proofErr w:type="spellStart"/>
            <w:r w:rsidRPr="00E06CEE">
              <w:rPr>
                <w:rFonts w:cs="Arial"/>
                <w:iCs/>
                <w:sz w:val="20"/>
                <w:szCs w:val="20"/>
              </w:rPr>
              <w:t>Ignitis</w:t>
            </w:r>
            <w:proofErr w:type="spellEnd"/>
            <w:r w:rsidRPr="00E06CEE">
              <w:rPr>
                <w:rFonts w:cs="Arial"/>
                <w:iCs/>
                <w:sz w:val="20"/>
                <w:szCs w:val="20"/>
              </w:rPr>
              <w:t xml:space="preserve"> – 1.68%.</w:t>
            </w:r>
          </w:p>
          <w:p w14:paraId="79823EFC" w14:textId="77777777" w:rsidR="00BD30D4" w:rsidRPr="00E06CEE" w:rsidRDefault="00BD30D4" w:rsidP="00C134F1">
            <w:pPr>
              <w:pStyle w:val="ListParagraph"/>
              <w:ind w:firstLine="0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BD30D4" w14:paraId="02A89E67" w14:textId="77777777" w:rsidTr="00C134F1">
        <w:tc>
          <w:tcPr>
            <w:tcW w:w="4863" w:type="dxa"/>
          </w:tcPr>
          <w:p w14:paraId="581C0AE8" w14:textId="77777777" w:rsidR="00BD30D4" w:rsidRPr="00E06CEE" w:rsidRDefault="00BD30D4" w:rsidP="00C134F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b/>
                <w:iCs/>
                <w:sz w:val="20"/>
              </w:rPr>
            </w:pPr>
            <w:r w:rsidRPr="00E06CEE">
              <w:rPr>
                <w:rFonts w:cs="Arial"/>
                <w:b/>
                <w:iCs/>
                <w:sz w:val="20"/>
              </w:rPr>
              <w:lastRenderedPageBreak/>
              <w:t>Darbuotojai ir Finansinė informacija</w:t>
            </w:r>
          </w:p>
          <w:p w14:paraId="46DB55A0" w14:textId="77777777" w:rsidR="00BD30D4" w:rsidRPr="00E06CEE" w:rsidRDefault="00BD30D4" w:rsidP="00C134F1">
            <w:pPr>
              <w:pStyle w:val="ListParagraph"/>
              <w:ind w:firstLine="0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765" w:type="dxa"/>
          </w:tcPr>
          <w:p w14:paraId="6770B1D1" w14:textId="77777777" w:rsidR="00BD30D4" w:rsidRPr="00E06CEE" w:rsidRDefault="00BD30D4" w:rsidP="00C134F1">
            <w:pPr>
              <w:ind w:left="360"/>
              <w:jc w:val="both"/>
              <w:rPr>
                <w:rFonts w:ascii="Arial" w:hAnsi="Arial" w:cs="Arial"/>
                <w:b/>
                <w:iCs/>
                <w:sz w:val="20"/>
              </w:rPr>
            </w:pPr>
            <w:r w:rsidRPr="00E06CEE">
              <w:rPr>
                <w:rFonts w:ascii="Arial" w:hAnsi="Arial" w:cs="Arial"/>
                <w:b/>
                <w:iCs/>
                <w:sz w:val="20"/>
              </w:rPr>
              <w:t xml:space="preserve">IV. </w:t>
            </w:r>
            <w:proofErr w:type="spellStart"/>
            <w:r w:rsidRPr="00E06CEE">
              <w:rPr>
                <w:rFonts w:ascii="Arial" w:hAnsi="Arial" w:cs="Arial"/>
                <w:b/>
                <w:iCs/>
                <w:sz w:val="20"/>
              </w:rPr>
              <w:t>Employees</w:t>
            </w:r>
            <w:proofErr w:type="spellEnd"/>
            <w:r w:rsidRPr="00E06CEE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b/>
                <w:iCs/>
                <w:sz w:val="20"/>
              </w:rPr>
              <w:t>and</w:t>
            </w:r>
            <w:proofErr w:type="spellEnd"/>
            <w:r w:rsidRPr="00E06CEE">
              <w:rPr>
                <w:rFonts w:ascii="Arial" w:hAnsi="Arial" w:cs="Arial"/>
                <w:b/>
                <w:iCs/>
                <w:sz w:val="20"/>
              </w:rPr>
              <w:t xml:space="preserve"> Financial </w:t>
            </w:r>
            <w:proofErr w:type="spellStart"/>
            <w:r w:rsidRPr="00E06CEE">
              <w:rPr>
                <w:rFonts w:ascii="Arial" w:hAnsi="Arial" w:cs="Arial"/>
                <w:b/>
                <w:iCs/>
                <w:sz w:val="20"/>
              </w:rPr>
              <w:t>information</w:t>
            </w:r>
            <w:proofErr w:type="spellEnd"/>
            <w:r w:rsidRPr="00E06CEE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</w:p>
          <w:p w14:paraId="69627ED5" w14:textId="77777777" w:rsidR="00BD30D4" w:rsidRPr="00E06CEE" w:rsidRDefault="00BD30D4" w:rsidP="00C134F1">
            <w:pPr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  <w:tr w:rsidR="00BD30D4" w14:paraId="1665DC55" w14:textId="77777777" w:rsidTr="00C134F1">
        <w:trPr>
          <w:trHeight w:val="1230"/>
        </w:trPr>
        <w:tc>
          <w:tcPr>
            <w:tcW w:w="4863" w:type="dxa"/>
            <w:hideMark/>
          </w:tcPr>
          <w:p w14:paraId="19D193E9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 xml:space="preserve">Darbuotojai 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Employees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hideMark/>
          </w:tcPr>
          <w:p w14:paraId="182417DC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 xml:space="preserve">               2020’ – 280, įskaitant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including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>:</w:t>
            </w:r>
          </w:p>
          <w:p w14:paraId="3BB3FE9B" w14:textId="77777777" w:rsidR="00BD30D4" w:rsidRPr="00E06CEE" w:rsidRDefault="00BD30D4" w:rsidP="00C134F1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cs="Arial"/>
                <w:sz w:val="20"/>
                <w:szCs w:val="20"/>
              </w:rPr>
            </w:pPr>
            <w:r w:rsidRPr="00E06CEE">
              <w:rPr>
                <w:rFonts w:cs="Arial"/>
                <w:sz w:val="20"/>
                <w:szCs w:val="20"/>
              </w:rPr>
              <w:t>Administracija</w:t>
            </w:r>
            <w:r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E06CEE">
              <w:rPr>
                <w:rFonts w:cs="Arial"/>
                <w:sz w:val="20"/>
                <w:szCs w:val="20"/>
              </w:rPr>
              <w:t>Administration</w:t>
            </w:r>
            <w:proofErr w:type="spellEnd"/>
            <w:r w:rsidRPr="00E06CEE">
              <w:rPr>
                <w:rFonts w:cs="Arial"/>
                <w:sz w:val="20"/>
                <w:szCs w:val="20"/>
              </w:rPr>
              <w:t xml:space="preserve"> - 23</w:t>
            </w:r>
          </w:p>
          <w:p w14:paraId="033B562E" w14:textId="77777777" w:rsidR="00BD30D4" w:rsidRPr="00E06CEE" w:rsidRDefault="00BD30D4" w:rsidP="00C134F1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cs="Arial"/>
                <w:sz w:val="20"/>
                <w:szCs w:val="20"/>
              </w:rPr>
            </w:pPr>
            <w:r w:rsidRPr="00E06CEE">
              <w:rPr>
                <w:rFonts w:cs="Arial"/>
                <w:sz w:val="20"/>
                <w:szCs w:val="20"/>
              </w:rPr>
              <w:t xml:space="preserve">Profesines paslaugas teikiantys darbuotojai </w:t>
            </w:r>
            <w:r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E06CEE">
              <w:rPr>
                <w:rFonts w:cs="Arial"/>
                <w:sz w:val="20"/>
                <w:szCs w:val="20"/>
              </w:rPr>
              <w:t>Employees</w:t>
            </w:r>
            <w:proofErr w:type="spellEnd"/>
            <w:r w:rsidRPr="00E06CE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cs="Arial"/>
                <w:sz w:val="20"/>
                <w:szCs w:val="20"/>
              </w:rPr>
              <w:t>providing</w:t>
            </w:r>
            <w:proofErr w:type="spellEnd"/>
            <w:r w:rsidRPr="00E06CE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cs="Arial"/>
                <w:sz w:val="20"/>
                <w:szCs w:val="20"/>
              </w:rPr>
              <w:t>professional</w:t>
            </w:r>
            <w:proofErr w:type="spellEnd"/>
            <w:r w:rsidRPr="00E06CE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cs="Arial"/>
                <w:sz w:val="20"/>
                <w:szCs w:val="20"/>
              </w:rPr>
              <w:t>services</w:t>
            </w:r>
            <w:proofErr w:type="spellEnd"/>
            <w:r w:rsidRPr="00E06CEE">
              <w:rPr>
                <w:rFonts w:cs="Arial"/>
                <w:sz w:val="20"/>
                <w:szCs w:val="20"/>
              </w:rPr>
              <w:t xml:space="preserve">  – 257</w:t>
            </w:r>
          </w:p>
        </w:tc>
      </w:tr>
      <w:tr w:rsidR="00BD30D4" w14:paraId="4CD41C05" w14:textId="77777777" w:rsidTr="00C134F1">
        <w:trPr>
          <w:trHeight w:val="853"/>
        </w:trPr>
        <w:tc>
          <w:tcPr>
            <w:tcW w:w="4863" w:type="dxa"/>
            <w:hideMark/>
          </w:tcPr>
          <w:p w14:paraId="5CC27681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06CEE">
              <w:rPr>
                <w:rFonts w:ascii="Arial" w:hAnsi="Arial" w:cs="Arial"/>
                <w:sz w:val="20"/>
              </w:rPr>
              <w:t xml:space="preserve">Bendra metinė apyvarta 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Total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Estimated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Annual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Turnover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hideMark/>
          </w:tcPr>
          <w:p w14:paraId="2B492A9A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2018’ - EUR 11,3 M</w:t>
            </w:r>
          </w:p>
          <w:p w14:paraId="30F41376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2019’ - EUR 14.2 M</w:t>
            </w:r>
          </w:p>
          <w:p w14:paraId="1E9B7494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2020‘- EUR 10,9 M (prognozė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forecast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>)</w:t>
            </w:r>
          </w:p>
        </w:tc>
      </w:tr>
      <w:tr w:rsidR="00BD30D4" w14:paraId="1F230375" w14:textId="77777777" w:rsidTr="00C134F1">
        <w:trPr>
          <w:trHeight w:val="834"/>
        </w:trPr>
        <w:tc>
          <w:tcPr>
            <w:tcW w:w="4863" w:type="dxa"/>
            <w:hideMark/>
          </w:tcPr>
          <w:p w14:paraId="0043C5E2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 xml:space="preserve">Apyvarta JAV / Kanadoje </w:t>
            </w:r>
            <w:r>
              <w:rPr>
                <w:rFonts w:ascii="Arial" w:hAnsi="Arial" w:cs="Arial"/>
                <w:sz w:val="20"/>
              </w:rPr>
              <w:t>/</w:t>
            </w:r>
            <w:r w:rsidRPr="00E06CEE">
              <w:rPr>
                <w:rFonts w:ascii="Arial" w:hAnsi="Arial" w:cs="Arial"/>
                <w:sz w:val="20"/>
              </w:rPr>
              <w:t xml:space="preserve">USA/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Canada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Turnover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est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.) </w:t>
            </w:r>
          </w:p>
        </w:tc>
        <w:tc>
          <w:tcPr>
            <w:tcW w:w="4765" w:type="dxa"/>
            <w:hideMark/>
          </w:tcPr>
          <w:p w14:paraId="430B2F51" w14:textId="77777777" w:rsidR="00BD30D4" w:rsidRPr="00E06CEE" w:rsidRDefault="00BD30D4" w:rsidP="00C134F1">
            <w:pPr>
              <w:spacing w:line="256" w:lineRule="auto"/>
              <w:jc w:val="both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Paslaugos teikiamos tik Lietuvoje, Latvijoje, Estijoje bei Lenkijoje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Services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are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provided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only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in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Lithuania,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Latvia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Estonia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and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Poland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D30D4" w14:paraId="5AE9FC45" w14:textId="77777777" w:rsidTr="00C134F1">
        <w:trPr>
          <w:trHeight w:val="834"/>
        </w:trPr>
        <w:tc>
          <w:tcPr>
            <w:tcW w:w="4863" w:type="dxa"/>
            <w:tcBorders>
              <w:bottom w:val="single" w:sz="4" w:space="0" w:color="auto"/>
            </w:tcBorders>
          </w:tcPr>
          <w:p w14:paraId="1D4856E1" w14:textId="77777777" w:rsidR="00BD30D4" w:rsidRPr="00E06CEE" w:rsidRDefault="00BD30D4" w:rsidP="00C134F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06CEE">
              <w:rPr>
                <w:rFonts w:ascii="Arial" w:hAnsi="Arial" w:cs="Arial"/>
                <w:b/>
                <w:bCs/>
                <w:sz w:val="20"/>
              </w:rPr>
              <w:t>V</w:t>
            </w:r>
            <w:r w:rsidRPr="00E06CEE">
              <w:rPr>
                <w:rFonts w:ascii="Arial" w:hAnsi="Arial" w:cs="Arial"/>
                <w:sz w:val="20"/>
              </w:rPr>
              <w:t xml:space="preserve">. </w:t>
            </w:r>
            <w:bookmarkStart w:id="0" w:name="_Hlk31803596"/>
            <w:r w:rsidRPr="00E06CEE">
              <w:rPr>
                <w:rFonts w:ascii="Arial" w:hAnsi="Arial" w:cs="Arial"/>
                <w:b/>
                <w:sz w:val="20"/>
              </w:rPr>
              <w:t>Vykdomos veiklos</w:t>
            </w:r>
            <w:bookmarkEnd w:id="0"/>
          </w:p>
          <w:p w14:paraId="7B39B221" w14:textId="77777777" w:rsidR="00BD30D4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  <w:p w14:paraId="6F738543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3DCC3D1F" w14:textId="77777777" w:rsidR="00BD30D4" w:rsidRPr="00E06CEE" w:rsidRDefault="00BD30D4" w:rsidP="00C134F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06CEE">
              <w:rPr>
                <w:rFonts w:ascii="Arial" w:hAnsi="Arial" w:cs="Arial"/>
                <w:b/>
                <w:sz w:val="20"/>
              </w:rPr>
              <w:t xml:space="preserve">V. </w:t>
            </w:r>
            <w:proofErr w:type="spellStart"/>
            <w:r w:rsidRPr="00E06CEE">
              <w:rPr>
                <w:rFonts w:ascii="Arial" w:hAnsi="Arial" w:cs="Arial"/>
                <w:b/>
                <w:sz w:val="20"/>
              </w:rPr>
              <w:t>Business</w:t>
            </w:r>
            <w:proofErr w:type="spellEnd"/>
            <w:r w:rsidRPr="00E06CE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b/>
                <w:sz w:val="20"/>
              </w:rPr>
              <w:t>activities</w:t>
            </w:r>
            <w:proofErr w:type="spellEnd"/>
            <w:r w:rsidRPr="00E06CE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F51A9BF" w14:textId="77777777" w:rsidR="00BD30D4" w:rsidRPr="00E06CEE" w:rsidRDefault="00BD30D4" w:rsidP="00C134F1">
            <w:pPr>
              <w:spacing w:line="25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D30D4" w:rsidRPr="00E06CEE" w14:paraId="27DD6D05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D4E2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b/>
                <w:bCs/>
                <w:sz w:val="20"/>
              </w:rPr>
              <w:t>Paslaugos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Services</w:t>
            </w:r>
            <w:proofErr w:type="spellEnd"/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893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06CEE">
              <w:rPr>
                <w:rFonts w:ascii="Arial" w:hAnsi="Arial" w:cs="Arial"/>
                <w:b/>
                <w:bCs/>
                <w:sz w:val="20"/>
              </w:rPr>
              <w:t>Pajamų pasiskirstymas, %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Allocation</w:t>
            </w:r>
            <w:proofErr w:type="spellEnd"/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of</w:t>
            </w:r>
            <w:proofErr w:type="spellEnd"/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income</w:t>
            </w:r>
            <w:proofErr w:type="spellEnd"/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5EB3840A" w14:textId="77777777" w:rsidR="00BD30D4" w:rsidRPr="00E06CEE" w:rsidRDefault="00BD30D4" w:rsidP="00C134F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prognozė 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2020’ 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forecast</w:t>
            </w:r>
            <w:proofErr w:type="spellEnd"/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D30D4" w:rsidRPr="00E06CEE" w14:paraId="75412C7A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62E" w14:textId="77777777" w:rsidR="00BD30D4" w:rsidRPr="00E06CEE" w:rsidRDefault="00BD30D4" w:rsidP="00C134F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Teisinės paslaugos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Legal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services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D9DA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19.5%</w:t>
            </w:r>
          </w:p>
        </w:tc>
      </w:tr>
      <w:tr w:rsidR="00BD30D4" w:rsidRPr="00E06CEE" w14:paraId="7AFD4A3B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B92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Buhalterinė apskaita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Accounting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6592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28.3%</w:t>
            </w:r>
          </w:p>
        </w:tc>
      </w:tr>
      <w:tr w:rsidR="00BD30D4" w:rsidRPr="00E06CEE" w14:paraId="670553D2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27A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Viešųjų pirkimų organizavimas ir vykdymas</w:t>
            </w:r>
            <w:r>
              <w:rPr>
                <w:rFonts w:ascii="Arial" w:hAnsi="Arial" w:cs="Arial"/>
                <w:sz w:val="20"/>
              </w:rPr>
              <w:t>/</w:t>
            </w:r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Public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procurement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organization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and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execution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A4B3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22.3%</w:t>
            </w:r>
          </w:p>
        </w:tc>
      </w:tr>
      <w:tr w:rsidR="00BD30D4" w:rsidRPr="00E06CEE" w14:paraId="155A333D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59A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 xml:space="preserve">Komunikacija 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Communication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0784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9.9%</w:t>
            </w:r>
          </w:p>
        </w:tc>
      </w:tr>
      <w:tr w:rsidR="00BD30D4" w:rsidRPr="00E06CEE" w14:paraId="3EE2A501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6E4C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Žmogiškųjų išteklių administravimas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Human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resources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29DC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13.8%</w:t>
            </w:r>
          </w:p>
        </w:tc>
      </w:tr>
      <w:tr w:rsidR="00BD30D4" w:rsidRPr="00E06CEE" w14:paraId="6875E55A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72A" w14:textId="77777777" w:rsidR="00BD30D4" w:rsidRPr="00E06CEE" w:rsidRDefault="00BD30D4" w:rsidP="00C134F1">
            <w:pPr>
              <w:jc w:val="both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Klientų aptarnavimas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Customer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services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FAE5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2.6%</w:t>
            </w:r>
          </w:p>
        </w:tc>
      </w:tr>
      <w:tr w:rsidR="00BD30D4" w:rsidRPr="00E06CEE" w14:paraId="17EC41A1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673" w14:textId="77777777" w:rsidR="00BD30D4" w:rsidRPr="00E06CEE" w:rsidRDefault="00BD30D4" w:rsidP="00C134F1">
            <w:pPr>
              <w:pStyle w:val="ListParagraph"/>
              <w:spacing w:line="256" w:lineRule="auto"/>
              <w:ind w:left="567" w:firstLine="0"/>
              <w:rPr>
                <w:rFonts w:cs="Arial"/>
                <w:sz w:val="20"/>
              </w:rPr>
            </w:pPr>
          </w:p>
          <w:p w14:paraId="48546AB5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  <w:szCs w:val="20"/>
              </w:rPr>
              <w:t>Dokumentų valdymas ir administravimas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  <w:szCs w:val="20"/>
              </w:rPr>
              <w:t>administration</w:t>
            </w:r>
            <w:proofErr w:type="spellEnd"/>
            <w:r w:rsidRPr="00E06C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6CAE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0.7%</w:t>
            </w:r>
          </w:p>
        </w:tc>
      </w:tr>
      <w:tr w:rsidR="00BD30D4" w:rsidRPr="00E06CEE" w14:paraId="7959F35C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EF9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Turto valdymas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Asset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management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D38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1.5%</w:t>
            </w:r>
          </w:p>
        </w:tc>
      </w:tr>
      <w:tr w:rsidR="00BD30D4" w:rsidRPr="00E06CEE" w14:paraId="4597AD0C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FE58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Automatizavimas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Pr="00E06CEE">
              <w:rPr>
                <w:rFonts w:ascii="Arial" w:hAnsi="Arial" w:cs="Arial"/>
                <w:sz w:val="20"/>
              </w:rPr>
              <w:t>Automatization</w:t>
            </w:r>
            <w:proofErr w:type="spellEnd"/>
            <w:r w:rsidRPr="00E06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B6D" w14:textId="77777777" w:rsidR="00BD30D4" w:rsidRPr="00E06CEE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E06CEE">
              <w:rPr>
                <w:rFonts w:ascii="Arial" w:hAnsi="Arial" w:cs="Arial"/>
                <w:sz w:val="20"/>
              </w:rPr>
              <w:t>1.4%</w:t>
            </w:r>
          </w:p>
        </w:tc>
      </w:tr>
      <w:tr w:rsidR="00BD30D4" w:rsidRPr="00E06CEE" w14:paraId="7F5BEB53" w14:textId="77777777" w:rsidTr="00C134F1">
        <w:trPr>
          <w:trHeight w:val="834"/>
        </w:trPr>
        <w:tc>
          <w:tcPr>
            <w:tcW w:w="4863" w:type="dxa"/>
            <w:tcBorders>
              <w:top w:val="single" w:sz="4" w:space="0" w:color="auto"/>
            </w:tcBorders>
            <w:vAlign w:val="center"/>
          </w:tcPr>
          <w:p w14:paraId="66D68724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 w:rsidRPr="00E06CEE">
              <w:rPr>
                <w:rFonts w:ascii="Arial" w:hAnsi="Arial" w:cs="Arial"/>
                <w:b/>
                <w:bCs/>
                <w:sz w:val="20"/>
              </w:rPr>
              <w:lastRenderedPageBreak/>
              <w:t>VI.  Informacija apie klientus</w:t>
            </w:r>
          </w:p>
        </w:tc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4F0B4B7D" w14:textId="77777777" w:rsidR="00BD30D4" w:rsidRPr="00E06CEE" w:rsidRDefault="00BD30D4" w:rsidP="00C134F1">
            <w:pPr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VI. 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Client</w:t>
            </w:r>
            <w:proofErr w:type="spellEnd"/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 &amp; 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contract</w:t>
            </w:r>
            <w:proofErr w:type="spellEnd"/>
            <w:r w:rsidRPr="00E06CE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06CEE">
              <w:rPr>
                <w:rFonts w:ascii="Arial" w:hAnsi="Arial" w:cs="Arial"/>
                <w:b/>
                <w:bCs/>
                <w:sz w:val="20"/>
              </w:rPr>
              <w:t>information</w:t>
            </w:r>
            <w:proofErr w:type="spellEnd"/>
          </w:p>
        </w:tc>
      </w:tr>
    </w:tbl>
    <w:p w14:paraId="045FC518" w14:textId="77777777" w:rsidR="00BD30D4" w:rsidRDefault="00BD30D4" w:rsidP="00BD30D4">
      <w:pPr>
        <w:rPr>
          <w:rFonts w:ascii="Arial" w:hAnsi="Arial" w:cs="Arial"/>
        </w:rPr>
      </w:pPr>
    </w:p>
    <w:tbl>
      <w:tblPr>
        <w:tblW w:w="488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1864"/>
        <w:gridCol w:w="1864"/>
        <w:gridCol w:w="1979"/>
      </w:tblGrid>
      <w:tr w:rsidR="00BD30D4" w14:paraId="0AC24862" w14:textId="77777777" w:rsidTr="00C134F1">
        <w:trPr>
          <w:trHeight w:val="313"/>
        </w:trPr>
        <w:tc>
          <w:tcPr>
            <w:tcW w:w="19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D999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</w:rPr>
              <w:t>Kliento kategorija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</w:rPr>
              <w:t>Client’s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</w:rPr>
              <w:t>category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609F0A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</w:rPr>
              <w:t>Pajamų pasiskirstymas, %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</w:rPr>
              <w:t>Allocation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</w:rPr>
              <w:t>income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D30D4" w14:paraId="33ED2B92" w14:textId="77777777" w:rsidTr="00C134F1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93EB" w14:textId="77777777" w:rsidR="00BD30D4" w:rsidRPr="009859B7" w:rsidRDefault="00BD30D4" w:rsidP="00C134F1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80AE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</w:rPr>
              <w:t>2018’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2AD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</w:rPr>
              <w:t>2019’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5B8AEB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prognozė 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2020’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</w:rPr>
              <w:t>forecast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</w:p>
        </w:tc>
      </w:tr>
      <w:tr w:rsidR="00BD30D4" w14:paraId="4D855D8A" w14:textId="77777777" w:rsidTr="00C134F1">
        <w:trPr>
          <w:trHeight w:val="313"/>
        </w:trPr>
        <w:tc>
          <w:tcPr>
            <w:tcW w:w="1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3D7B" w14:textId="77777777" w:rsidR="00BD30D4" w:rsidRPr="009859B7" w:rsidRDefault="00BD30D4" w:rsidP="00C134F1">
            <w:pPr>
              <w:spacing w:line="256" w:lineRule="auto"/>
              <w:ind w:firstLineChars="18" w:firstLine="36"/>
              <w:rPr>
                <w:rFonts w:ascii="Arial" w:hAnsi="Arial" w:cs="Arial"/>
                <w:sz w:val="20"/>
              </w:rPr>
            </w:pPr>
            <w:proofErr w:type="spellStart"/>
            <w:r w:rsidRPr="009859B7">
              <w:rPr>
                <w:rFonts w:ascii="Arial" w:hAnsi="Arial" w:cs="Arial"/>
                <w:sz w:val="20"/>
              </w:rPr>
              <w:t>Ignitis</w:t>
            </w:r>
            <w:proofErr w:type="spellEnd"/>
            <w:r w:rsidRPr="009859B7">
              <w:rPr>
                <w:rFonts w:ascii="Arial" w:hAnsi="Arial" w:cs="Arial"/>
                <w:sz w:val="20"/>
              </w:rPr>
              <w:t xml:space="preserve"> Group (</w:t>
            </w:r>
            <w:proofErr w:type="spellStart"/>
            <w:r w:rsidRPr="009859B7">
              <w:rPr>
                <w:rFonts w:ascii="Arial" w:hAnsi="Arial" w:cs="Arial"/>
                <w:sz w:val="20"/>
              </w:rPr>
              <w:t>power</w:t>
            </w:r>
            <w:proofErr w:type="spellEnd"/>
            <w:r w:rsidRPr="009859B7">
              <w:rPr>
                <w:rFonts w:ascii="Arial" w:hAnsi="Arial" w:cs="Arial"/>
                <w:sz w:val="20"/>
              </w:rPr>
              <w:t>/</w:t>
            </w:r>
            <w:proofErr w:type="spellStart"/>
            <w:r w:rsidRPr="009859B7">
              <w:rPr>
                <w:rFonts w:ascii="Arial" w:hAnsi="Arial" w:cs="Arial"/>
                <w:sz w:val="20"/>
              </w:rPr>
              <w:t>energy</w:t>
            </w:r>
            <w:proofErr w:type="spellEnd"/>
            <w:r w:rsidRPr="009859B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</w:rPr>
              <w:t>sector</w:t>
            </w:r>
            <w:proofErr w:type="spellEnd"/>
            <w:r w:rsidRPr="009859B7">
              <w:rPr>
                <w:rFonts w:ascii="Arial" w:hAnsi="Arial" w:cs="Arial"/>
                <w:sz w:val="20"/>
              </w:rPr>
              <w:t xml:space="preserve"> / energetikos sektorius)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6F6E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9859B7">
              <w:rPr>
                <w:rFonts w:ascii="Arial" w:hAnsi="Arial" w:cs="Arial"/>
                <w:sz w:val="20"/>
              </w:rPr>
              <w:t>99.9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76FA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9859B7">
              <w:rPr>
                <w:rFonts w:ascii="Arial" w:hAnsi="Arial" w:cs="Arial"/>
                <w:sz w:val="20"/>
              </w:rPr>
              <w:t>99.9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400825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9859B7">
              <w:rPr>
                <w:rFonts w:ascii="Arial" w:hAnsi="Arial" w:cs="Arial"/>
                <w:sz w:val="20"/>
              </w:rPr>
              <w:t>99.9</w:t>
            </w:r>
          </w:p>
        </w:tc>
      </w:tr>
      <w:tr w:rsidR="00BD30D4" w14:paraId="3424175C" w14:textId="77777777" w:rsidTr="00C134F1">
        <w:trPr>
          <w:trHeight w:val="313"/>
        </w:trPr>
        <w:tc>
          <w:tcPr>
            <w:tcW w:w="1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8C5" w14:textId="77777777" w:rsidR="00BD30D4" w:rsidRPr="009859B7" w:rsidRDefault="00BD30D4" w:rsidP="00C134F1">
            <w:pPr>
              <w:spacing w:line="256" w:lineRule="auto"/>
              <w:ind w:firstLineChars="18" w:firstLine="36"/>
              <w:rPr>
                <w:rFonts w:ascii="Arial" w:hAnsi="Arial" w:cs="Arial"/>
                <w:sz w:val="20"/>
              </w:rPr>
            </w:pPr>
            <w:proofErr w:type="spellStart"/>
            <w:r w:rsidRPr="009859B7">
              <w:rPr>
                <w:rFonts w:ascii="Arial" w:hAnsi="Arial" w:cs="Arial"/>
                <w:sz w:val="20"/>
              </w:rPr>
              <w:t>Other</w:t>
            </w:r>
            <w:proofErr w:type="spellEnd"/>
            <w:r w:rsidRPr="009859B7">
              <w:rPr>
                <w:rFonts w:ascii="Arial" w:hAnsi="Arial" w:cs="Arial"/>
                <w:sz w:val="20"/>
              </w:rPr>
              <w:t xml:space="preserve"> / Kita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24AE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9859B7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FA01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9859B7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6ED8D" w14:textId="77777777" w:rsidR="00BD30D4" w:rsidRPr="009859B7" w:rsidRDefault="00BD30D4" w:rsidP="00C134F1">
            <w:pPr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9859B7">
              <w:rPr>
                <w:rFonts w:ascii="Arial" w:hAnsi="Arial" w:cs="Arial"/>
                <w:sz w:val="20"/>
              </w:rPr>
              <w:t>0,1</w:t>
            </w:r>
          </w:p>
        </w:tc>
      </w:tr>
    </w:tbl>
    <w:p w14:paraId="67A0F5CB" w14:textId="77777777" w:rsidR="00BD30D4" w:rsidRDefault="00BD30D4" w:rsidP="00BD30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0D4" w:rsidRPr="009859B7" w14:paraId="638023FF" w14:textId="77777777" w:rsidTr="00C134F1">
        <w:tc>
          <w:tcPr>
            <w:tcW w:w="4814" w:type="dxa"/>
          </w:tcPr>
          <w:p w14:paraId="250250A1" w14:textId="77777777" w:rsidR="00BD30D4" w:rsidRPr="009859B7" w:rsidRDefault="00BD30D4" w:rsidP="00C13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>VII. Draudimo apimtis (ATSAKOMYBĖS LIMITAI)</w:t>
            </w:r>
          </w:p>
        </w:tc>
        <w:tc>
          <w:tcPr>
            <w:tcW w:w="4814" w:type="dxa"/>
          </w:tcPr>
          <w:p w14:paraId="64DBE8D5" w14:textId="77777777" w:rsidR="00BD30D4" w:rsidRPr="009859B7" w:rsidRDefault="00BD30D4" w:rsidP="00C13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VII.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(LIMITS OF INDEMNITY)</w:t>
            </w:r>
          </w:p>
        </w:tc>
      </w:tr>
    </w:tbl>
    <w:p w14:paraId="45F1C7B3" w14:textId="77777777" w:rsidR="00BD30D4" w:rsidRPr="009859B7" w:rsidRDefault="00BD30D4" w:rsidP="00BD30D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5758"/>
        <w:gridCol w:w="2414"/>
      </w:tblGrid>
      <w:tr w:rsidR="00BD30D4" w:rsidRPr="009859B7" w14:paraId="14CE01AC" w14:textId="77777777" w:rsidTr="00C134F1">
        <w:trPr>
          <w:trHeight w:val="696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049A" w14:textId="77777777" w:rsidR="00BD30D4" w:rsidRPr="006A58AD" w:rsidRDefault="00BD30D4" w:rsidP="00C13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/ Nr.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7B56" w14:textId="77777777" w:rsidR="00BD30D4" w:rsidRPr="006A58AD" w:rsidRDefault="00BD30D4" w:rsidP="00C13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Draudimo apimtis/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Insurance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Coverage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06197" w14:textId="77777777" w:rsidR="00BD30D4" w:rsidRPr="006A58AD" w:rsidRDefault="00BD30D4" w:rsidP="00C13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Limitas/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>, EUR</w:t>
            </w:r>
          </w:p>
          <w:p w14:paraId="321CC568" w14:textId="77777777" w:rsidR="00BD30D4" w:rsidRPr="006A58AD" w:rsidRDefault="00BD30D4" w:rsidP="00C13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(per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event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aggregate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/ vienam įvykiui ir iš viso)</w:t>
            </w:r>
          </w:p>
        </w:tc>
      </w:tr>
      <w:tr w:rsidR="00BD30D4" w:rsidRPr="009859B7" w14:paraId="26EE90AD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2E3A0" w14:textId="77777777" w:rsidR="00BD30D4" w:rsidRPr="006A58AD" w:rsidRDefault="00BD30D4" w:rsidP="00C134F1">
            <w:pPr>
              <w:pStyle w:val="ListParagraph"/>
              <w:ind w:firstLine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372E" w14:textId="77777777" w:rsidR="00BD30D4" w:rsidRPr="006A58AD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Professional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Indemnity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6A58AD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proofErr w:type="spellEnd"/>
            <w:r w:rsidRPr="006A58AD">
              <w:rPr>
                <w:rFonts w:ascii="Arial" w:hAnsi="Arial" w:cs="Arial"/>
                <w:b/>
                <w:sz w:val="20"/>
                <w:szCs w:val="20"/>
              </w:rPr>
              <w:t xml:space="preserve"> / Profesinė atsakomybė, įskaitant: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8D98B" w14:textId="79321131" w:rsidR="00BD30D4" w:rsidRPr="006A58AD" w:rsidRDefault="000C514E" w:rsidP="00C134F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A58AD">
              <w:rPr>
                <w:rFonts w:ascii="Arial" w:hAnsi="Arial" w:cs="Arial"/>
                <w:b/>
                <w:sz w:val="20"/>
                <w:szCs w:val="20"/>
              </w:rPr>
              <w:t>500.000</w:t>
            </w:r>
          </w:p>
        </w:tc>
      </w:tr>
      <w:tr w:rsidR="00BD30D4" w:rsidRPr="006A58AD" w14:paraId="217AE198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F4E5" w14:textId="77777777" w:rsidR="00BD30D4" w:rsidRPr="006A58AD" w:rsidRDefault="00BD30D4" w:rsidP="00C134F1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 xml:space="preserve">  8.1.1.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C9EF" w14:textId="77777777" w:rsidR="00BD30D4" w:rsidRPr="006A58AD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Dokumentų praradimas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62C060" w14:textId="77777777" w:rsidR="00BD30D4" w:rsidRPr="006A58AD" w:rsidRDefault="00BD30D4" w:rsidP="00C134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poliso bendro limito ribose</w:t>
            </w:r>
          </w:p>
        </w:tc>
      </w:tr>
      <w:tr w:rsidR="00BD30D4" w:rsidRPr="006A58AD" w14:paraId="6ACAC8F5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38FA" w14:textId="77777777" w:rsidR="00BD30D4" w:rsidRPr="006A58AD" w:rsidRDefault="00BD30D4" w:rsidP="00C134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>8.1.2.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6E25" w14:textId="77777777" w:rsidR="00BD30D4" w:rsidRPr="006A58AD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Dishonesty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employees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Nesąžiningi darbuotojų veiksmai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613212" w14:textId="77777777" w:rsidR="00BD30D4" w:rsidRPr="006A58AD" w:rsidRDefault="00BD30D4" w:rsidP="00C134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poliso bendro limito ribose</w:t>
            </w:r>
          </w:p>
        </w:tc>
      </w:tr>
      <w:tr w:rsidR="00BD30D4" w:rsidRPr="006A58AD" w14:paraId="3C31BDAF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58D7" w14:textId="77777777" w:rsidR="00BD30D4" w:rsidRPr="006A58AD" w:rsidRDefault="00BD30D4" w:rsidP="00C134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>8.1.3.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F112" w14:textId="77777777" w:rsidR="00BD30D4" w:rsidRPr="006A58AD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Liability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sub-contractors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Subrangovų padaryta žala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850586" w14:textId="77777777" w:rsidR="00BD30D4" w:rsidRPr="006A58AD" w:rsidRDefault="00BD30D4" w:rsidP="00C134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poliso bendro limito ribose</w:t>
            </w:r>
          </w:p>
        </w:tc>
      </w:tr>
      <w:tr w:rsidR="00BD30D4" w:rsidRPr="006A58AD" w14:paraId="03CD477D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F39D" w14:textId="26B88D26" w:rsidR="00BD30D4" w:rsidRPr="006A58AD" w:rsidRDefault="00BD30D4" w:rsidP="00C134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>8.1.</w:t>
            </w:r>
            <w:r w:rsidR="00B95DD4" w:rsidRPr="006A58AD">
              <w:rPr>
                <w:rFonts w:ascii="Arial" w:hAnsi="Arial" w:cs="Arial"/>
                <w:sz w:val="20"/>
                <w:szCs w:val="20"/>
              </w:rPr>
              <w:t>4</w:t>
            </w:r>
            <w:r w:rsidRPr="006A5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89E7" w14:textId="684C5895" w:rsidR="00BD30D4" w:rsidRPr="006A58AD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Privacy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Liability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C514E" w:rsidRPr="006A58AD">
              <w:rPr>
                <w:rFonts w:ascii="Arial" w:hAnsi="Arial" w:cs="Arial"/>
                <w:sz w:val="20"/>
                <w:szCs w:val="20"/>
              </w:rPr>
              <w:t>P</w:t>
            </w:r>
            <w:r w:rsidRPr="006A58AD">
              <w:rPr>
                <w:rFonts w:ascii="Arial" w:hAnsi="Arial" w:cs="Arial"/>
                <w:sz w:val="20"/>
                <w:szCs w:val="20"/>
              </w:rPr>
              <w:t>rivatumas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2941C8" w14:textId="77777777" w:rsidR="00BD30D4" w:rsidRPr="006A58AD" w:rsidRDefault="00BD30D4" w:rsidP="00C134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poliso bendro limito ribose</w:t>
            </w:r>
          </w:p>
        </w:tc>
      </w:tr>
      <w:tr w:rsidR="00BD30D4" w:rsidRPr="006A58AD" w14:paraId="406EE750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D558" w14:textId="110BB703" w:rsidR="00BD30D4" w:rsidRPr="006A58AD" w:rsidRDefault="00BD30D4" w:rsidP="00C134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>8.1.</w:t>
            </w:r>
            <w:r w:rsidR="00B95DD4" w:rsidRPr="006A58AD">
              <w:rPr>
                <w:rFonts w:ascii="Arial" w:hAnsi="Arial" w:cs="Arial"/>
                <w:sz w:val="20"/>
                <w:szCs w:val="20"/>
              </w:rPr>
              <w:t>5</w:t>
            </w:r>
            <w:r w:rsidRPr="006A5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960A" w14:textId="77777777" w:rsidR="00BD30D4" w:rsidRPr="006A58AD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Cyber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Extortion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ransom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Išpirka dėl kibernetinio įvykio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86EE40" w14:textId="77777777" w:rsidR="00BD30D4" w:rsidRPr="006A58AD" w:rsidRDefault="00BD30D4" w:rsidP="00C134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poliso bendro limito ribose</w:t>
            </w:r>
          </w:p>
        </w:tc>
      </w:tr>
      <w:tr w:rsidR="00BD30D4" w:rsidRPr="006A58AD" w14:paraId="041BBFA9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CEA3" w14:textId="09789727" w:rsidR="00BD30D4" w:rsidRPr="006A58AD" w:rsidRDefault="00BD30D4" w:rsidP="00C134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>8.1.</w:t>
            </w:r>
            <w:r w:rsidR="00B95DD4" w:rsidRPr="006A58AD">
              <w:rPr>
                <w:rFonts w:ascii="Arial" w:hAnsi="Arial" w:cs="Arial"/>
                <w:sz w:val="20"/>
                <w:szCs w:val="20"/>
              </w:rPr>
              <w:t>6</w:t>
            </w:r>
            <w:r w:rsidRPr="006A5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369A" w14:textId="77777777" w:rsidR="00BD30D4" w:rsidRPr="006A58AD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associated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companies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Žala susijusioms įmonėms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BA7A8" w14:textId="77777777" w:rsidR="00BD30D4" w:rsidRPr="006A58AD" w:rsidRDefault="00BD30D4" w:rsidP="00C134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sz w:val="20"/>
                <w:szCs w:val="20"/>
              </w:rPr>
              <w:t xml:space="preserve"> / poliso bendro limito ribose</w:t>
            </w:r>
          </w:p>
        </w:tc>
      </w:tr>
      <w:tr w:rsidR="00BD30D4" w:rsidRPr="006A58AD" w14:paraId="767C0AA6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1E3" w14:textId="134D674B" w:rsidR="00BD30D4" w:rsidRPr="006A58AD" w:rsidRDefault="00BD30D4" w:rsidP="00C134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>8.1.</w:t>
            </w:r>
            <w:r w:rsidR="006A58AD" w:rsidRPr="006A58AD">
              <w:rPr>
                <w:rFonts w:ascii="Arial" w:hAnsi="Arial" w:cs="Arial"/>
                <w:sz w:val="20"/>
                <w:szCs w:val="20"/>
              </w:rPr>
              <w:t>7</w:t>
            </w:r>
            <w:r w:rsidRPr="006A5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F3D8" w14:textId="77777777" w:rsidR="00BD30D4" w:rsidRPr="006A58AD" w:rsidRDefault="00BD30D4" w:rsidP="00C134F1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bCs/>
                <w:sz w:val="20"/>
                <w:szCs w:val="20"/>
              </w:rPr>
              <w:t>Court</w:t>
            </w:r>
            <w:proofErr w:type="spellEnd"/>
            <w:r w:rsidRPr="006A58A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Cs/>
                <w:sz w:val="20"/>
                <w:szCs w:val="20"/>
              </w:rPr>
              <w:t>attendance</w:t>
            </w:r>
            <w:proofErr w:type="spellEnd"/>
            <w:r w:rsidRPr="006A58A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Cs/>
                <w:sz w:val="20"/>
                <w:szCs w:val="20"/>
              </w:rPr>
              <w:t>costs</w:t>
            </w:r>
            <w:proofErr w:type="spellEnd"/>
            <w:r w:rsidRPr="006A58AD">
              <w:rPr>
                <w:rFonts w:ascii="Arial" w:hAnsi="Arial" w:cs="Arial"/>
                <w:bCs/>
                <w:sz w:val="20"/>
                <w:szCs w:val="20"/>
              </w:rPr>
              <w:t xml:space="preserve"> / Dalyvavimo teisme išlaidos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549243" w14:textId="77777777" w:rsidR="00BD30D4" w:rsidRPr="006A58AD" w:rsidRDefault="00BD30D4" w:rsidP="00C134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58AD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BD30D4" w:rsidRPr="006A58AD" w14:paraId="2D68AE91" w14:textId="77777777" w:rsidTr="00C134F1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17B51" w14:textId="77777777" w:rsidR="00BD30D4" w:rsidRPr="006A58AD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9364" w14:textId="77777777" w:rsidR="00BD30D4" w:rsidRPr="006A58AD" w:rsidRDefault="00BD30D4" w:rsidP="00C13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58AD">
              <w:rPr>
                <w:rFonts w:ascii="Arial" w:hAnsi="Arial" w:cs="Arial"/>
                <w:b/>
                <w:bCs/>
                <w:sz w:val="20"/>
                <w:szCs w:val="20"/>
              </w:rPr>
              <w:t>Aggregate</w:t>
            </w:r>
            <w:proofErr w:type="spellEnd"/>
            <w:r w:rsidRPr="006A58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/>
                <w:bCs/>
                <w:sz w:val="20"/>
                <w:szCs w:val="20"/>
              </w:rPr>
              <w:t>policy</w:t>
            </w:r>
            <w:proofErr w:type="spellEnd"/>
            <w:r w:rsidRPr="006A58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8AD">
              <w:rPr>
                <w:rFonts w:ascii="Arial" w:hAnsi="Arial" w:cs="Arial"/>
                <w:b/>
                <w:bCs/>
                <w:sz w:val="20"/>
                <w:szCs w:val="20"/>
              </w:rPr>
              <w:t>limit</w:t>
            </w:r>
            <w:proofErr w:type="spellEnd"/>
            <w:r w:rsidRPr="006A58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Bendras poliso limitas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272950" w14:textId="41C1D3FA" w:rsidR="00BD30D4" w:rsidRPr="006A58AD" w:rsidRDefault="000C514E" w:rsidP="00C134F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A58AD">
              <w:rPr>
                <w:rFonts w:ascii="Arial" w:hAnsi="Arial" w:cs="Arial"/>
                <w:b/>
                <w:sz w:val="20"/>
                <w:szCs w:val="20"/>
              </w:rPr>
              <w:t>500.000</w:t>
            </w:r>
          </w:p>
        </w:tc>
      </w:tr>
    </w:tbl>
    <w:p w14:paraId="23FDB59D" w14:textId="77777777" w:rsidR="00BD30D4" w:rsidRDefault="00BD30D4" w:rsidP="00BD30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0D4" w14:paraId="58370896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72CFFB5" w14:textId="77777777" w:rsidR="00BD30D4" w:rsidRPr="009859B7" w:rsidRDefault="00BD30D4" w:rsidP="00C134F1">
            <w:pPr>
              <w:jc w:val="both"/>
              <w:rPr>
                <w:rFonts w:cs="Arial"/>
                <w:b/>
                <w:sz w:val="20"/>
              </w:rPr>
            </w:pPr>
            <w:r w:rsidRPr="009859B7">
              <w:rPr>
                <w:rFonts w:ascii="Arial" w:hAnsi="Arial" w:cs="Arial"/>
                <w:b/>
                <w:bCs/>
              </w:rPr>
              <w:t>VIII</w:t>
            </w:r>
            <w:r w:rsidRPr="009859B7">
              <w:rPr>
                <w:rFonts w:ascii="Arial" w:hAnsi="Arial" w:cs="Arial"/>
              </w:rPr>
              <w:t xml:space="preserve">. </w:t>
            </w:r>
            <w:bookmarkStart w:id="1" w:name="_Hlk31804003"/>
            <w:r w:rsidRPr="009859B7">
              <w:rPr>
                <w:rFonts w:ascii="Arial" w:hAnsi="Arial" w:cs="Arial"/>
                <w:b/>
                <w:iCs/>
                <w:sz w:val="20"/>
                <w:szCs w:val="20"/>
              </w:rPr>
              <w:t>Draudimo apimtis (SĄVOKOS)</w:t>
            </w:r>
          </w:p>
          <w:bookmarkEnd w:id="1"/>
          <w:p w14:paraId="745A9B04" w14:textId="77777777" w:rsidR="00BD30D4" w:rsidRDefault="00BD30D4" w:rsidP="00C134F1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2F9E79B" w14:textId="77777777" w:rsidR="00BD30D4" w:rsidRPr="009859B7" w:rsidRDefault="00BD30D4" w:rsidP="00C134F1">
            <w:pPr>
              <w:rPr>
                <w:rFonts w:ascii="Arial" w:hAnsi="Arial" w:cs="Arial"/>
                <w:b/>
                <w:bCs/>
              </w:rPr>
            </w:pPr>
            <w:r w:rsidRPr="009859B7">
              <w:rPr>
                <w:rFonts w:ascii="Arial" w:hAnsi="Arial" w:cs="Arial"/>
                <w:b/>
                <w:bCs/>
              </w:rPr>
              <w:t xml:space="preserve">VIII. </w:t>
            </w:r>
            <w:proofErr w:type="spellStart"/>
            <w:r w:rsidRPr="009859B7">
              <w:rPr>
                <w:rFonts w:ascii="Arial" w:hAnsi="Arial" w:cs="Arial"/>
                <w:b/>
                <w:bCs/>
              </w:rPr>
              <w:t>Insurance</w:t>
            </w:r>
            <w:proofErr w:type="spellEnd"/>
            <w:r w:rsidRPr="009859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bCs/>
              </w:rPr>
              <w:t>Coverage</w:t>
            </w:r>
            <w:proofErr w:type="spellEnd"/>
            <w:r w:rsidRPr="009859B7">
              <w:rPr>
                <w:rFonts w:ascii="Arial" w:hAnsi="Arial" w:cs="Arial"/>
                <w:b/>
                <w:bCs/>
              </w:rPr>
              <w:t xml:space="preserve"> (DEFINITIONS)</w:t>
            </w:r>
          </w:p>
        </w:tc>
      </w:tr>
      <w:tr w:rsidR="00BD30D4" w14:paraId="2DA91D5E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251562E" w14:textId="77777777" w:rsidR="00BD30D4" w:rsidRDefault="00BD30D4" w:rsidP="00C134F1">
            <w:pPr>
              <w:jc w:val="both"/>
              <w:rPr>
                <w:rFonts w:cs="Arial"/>
                <w:sz w:val="20"/>
              </w:rPr>
            </w:pPr>
          </w:p>
          <w:p w14:paraId="15640DF0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859B7">
              <w:rPr>
                <w:rFonts w:ascii="Arial" w:hAnsi="Arial" w:cs="Arial"/>
                <w:b/>
                <w:sz w:val="20"/>
              </w:rPr>
              <w:t>8.1. Profesinė atsakomybė</w:t>
            </w:r>
          </w:p>
          <w:p w14:paraId="3A7760E4" w14:textId="77777777" w:rsidR="00BD30D4" w:rsidRPr="009859B7" w:rsidRDefault="00BD30D4" w:rsidP="00C134F1">
            <w:pPr>
              <w:pStyle w:val="ListParagraph"/>
              <w:ind w:left="284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0CCE738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sz w:val="20"/>
              </w:rPr>
            </w:pPr>
            <w:bookmarkStart w:id="2" w:name="_Hlk31804070"/>
            <w:r w:rsidRPr="009859B7">
              <w:rPr>
                <w:rFonts w:ascii="Arial" w:hAnsi="Arial" w:cs="Arial"/>
                <w:bCs/>
                <w:sz w:val="20"/>
              </w:rPr>
              <w:t>Profesinės atsakomybės draudimas apima trečiųjų asmenų pretenzijas dėl nuostolių atlyginimo, įskaitant ir Draudėjo teisines išlaidas dėl:</w:t>
            </w:r>
          </w:p>
          <w:p w14:paraId="1FCF0166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20"/>
              </w:rPr>
            </w:pPr>
            <w:r w:rsidRPr="009859B7">
              <w:rPr>
                <w:rFonts w:cs="Arial"/>
                <w:bCs/>
                <w:sz w:val="20"/>
                <w:szCs w:val="20"/>
              </w:rPr>
              <w:t>Draudėjo klaidų ir praleidimų</w:t>
            </w:r>
          </w:p>
          <w:p w14:paraId="6375666B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9859B7">
              <w:rPr>
                <w:rFonts w:eastAsia="Times New Roman" w:cs="Arial"/>
                <w:sz w:val="20"/>
                <w:szCs w:val="20"/>
              </w:rPr>
              <w:t>Sutarties pažeidimo</w:t>
            </w:r>
          </w:p>
          <w:p w14:paraId="29E6F1D6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eastAsia="Times New Roman" w:cs="Arial"/>
                <w:sz w:val="20"/>
                <w:szCs w:val="20"/>
              </w:rPr>
            </w:pPr>
            <w:r w:rsidRPr="009859B7">
              <w:rPr>
                <w:rFonts w:eastAsia="Times New Roman" w:cs="Arial"/>
                <w:sz w:val="20"/>
                <w:szCs w:val="20"/>
              </w:rPr>
              <w:t>Intelektinės nuosavybės teisių pažeidimo</w:t>
            </w:r>
          </w:p>
          <w:p w14:paraId="1BD865DA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eastAsia="Times New Roman" w:cs="Arial"/>
                <w:sz w:val="20"/>
                <w:szCs w:val="20"/>
              </w:rPr>
            </w:pPr>
            <w:r w:rsidRPr="009859B7">
              <w:rPr>
                <w:rFonts w:eastAsia="Times New Roman" w:cs="Arial"/>
                <w:sz w:val="20"/>
                <w:szCs w:val="20"/>
              </w:rPr>
              <w:t>Šmeižto, garbės ir orumo pažeidimo</w:t>
            </w:r>
          </w:p>
          <w:p w14:paraId="57C81E22" w14:textId="77777777" w:rsidR="00BD30D4" w:rsidRPr="009859B7" w:rsidRDefault="00BD30D4" w:rsidP="00C134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859B7">
              <w:rPr>
                <w:rFonts w:ascii="Arial" w:hAnsi="Arial" w:cs="Arial"/>
                <w:bCs/>
                <w:sz w:val="20"/>
              </w:rPr>
              <w:lastRenderedPageBreak/>
              <w:t>vykdant  draudimo sutartyje numatytas veiklas.</w:t>
            </w:r>
          </w:p>
          <w:bookmarkEnd w:id="2"/>
          <w:p w14:paraId="3338D233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5E4ABD2" w14:textId="77777777" w:rsidR="00BD30D4" w:rsidRDefault="00BD30D4" w:rsidP="00C134F1">
            <w:pPr>
              <w:rPr>
                <w:rFonts w:ascii="Arial" w:hAnsi="Arial" w:cs="Arial"/>
                <w:b/>
                <w:bCs/>
              </w:rPr>
            </w:pPr>
          </w:p>
          <w:p w14:paraId="50A06118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8.1. 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Professional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Indemnity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3B9AC56" w14:textId="77777777" w:rsidR="00BD30D4" w:rsidRPr="009859B7" w:rsidRDefault="00BD30D4" w:rsidP="00C134F1">
            <w:pPr>
              <w:pStyle w:val="ListParagraph"/>
              <w:ind w:left="284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515382E" w14:textId="77777777" w:rsidR="00BD30D4" w:rsidRPr="009859B7" w:rsidRDefault="00BD30D4" w:rsidP="00C134F1">
            <w:pPr>
              <w:pStyle w:val="ListParagraph"/>
              <w:ind w:firstLine="0"/>
              <w:jc w:val="both"/>
              <w:rPr>
                <w:rFonts w:cs="Arial"/>
                <w:bCs/>
                <w:sz w:val="20"/>
                <w:szCs w:val="20"/>
              </w:rPr>
            </w:pPr>
            <w:r w:rsidRPr="009859B7">
              <w:rPr>
                <w:rFonts w:cs="Arial"/>
                <w:bCs/>
                <w:sz w:val="20"/>
                <w:szCs w:val="20"/>
              </w:rPr>
              <w:t xml:space="preserve">Professional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indemnity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insureds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received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claims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from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third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parties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and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legal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due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to</w:t>
            </w:r>
            <w:r w:rsidRPr="009859B7">
              <w:rPr>
                <w:rFonts w:cs="Arial"/>
                <w:bCs/>
                <w:i/>
                <w:sz w:val="20"/>
                <w:szCs w:val="20"/>
              </w:rPr>
              <w:t>:</w:t>
            </w:r>
          </w:p>
          <w:p w14:paraId="4A192DDA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Insured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‘s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Errors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and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Omissions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/ </w:t>
            </w:r>
          </w:p>
          <w:p w14:paraId="4300E8D3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Breach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of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contract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14F0BE52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Intellectual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Property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Rights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infringement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72C21731" w14:textId="77777777" w:rsidR="00BD30D4" w:rsidRPr="009859B7" w:rsidRDefault="00BD30D4" w:rsidP="00C134F1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Defamation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libel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and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sz w:val="20"/>
                <w:szCs w:val="20"/>
              </w:rPr>
              <w:t>slander</w:t>
            </w:r>
            <w:proofErr w:type="spellEnd"/>
            <w:r w:rsidRPr="009859B7">
              <w:rPr>
                <w:rFonts w:eastAsia="Times New Roman" w:cs="Arial"/>
                <w:sz w:val="20"/>
                <w:szCs w:val="20"/>
              </w:rPr>
              <w:t xml:space="preserve"> / </w:t>
            </w:r>
          </w:p>
          <w:p w14:paraId="1B00B6FA" w14:textId="77777777" w:rsidR="00BD30D4" w:rsidRDefault="00BD30D4" w:rsidP="00C134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78582F" w14:textId="77777777" w:rsidR="00BD30D4" w:rsidRPr="009859B7" w:rsidRDefault="00BD30D4" w:rsidP="00C134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lastRenderedPageBreak/>
              <w:t>while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providing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services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indicated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contract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4DBC1DC" w14:textId="77777777" w:rsidR="00BD30D4" w:rsidRPr="009859B7" w:rsidRDefault="00BD30D4" w:rsidP="00C134F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30D4" w14:paraId="3897C1FF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BD87025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7E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8.1.1.</w:t>
            </w:r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31804089"/>
            <w:r w:rsidRPr="009859B7">
              <w:rPr>
                <w:rFonts w:ascii="Arial" w:hAnsi="Arial" w:cs="Arial"/>
                <w:b/>
                <w:sz w:val="20"/>
                <w:szCs w:val="20"/>
              </w:rPr>
              <w:t>Dokumentų praradimas</w:t>
            </w:r>
          </w:p>
          <w:bookmarkEnd w:id="3"/>
          <w:p w14:paraId="495322D8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6C856C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4" w:name="_Hlk31804100"/>
            <w:r w:rsidRPr="009859B7">
              <w:rPr>
                <w:rFonts w:ascii="Arial" w:hAnsi="Arial" w:cs="Arial"/>
                <w:bCs/>
                <w:sz w:val="20"/>
                <w:szCs w:val="20"/>
              </w:rPr>
              <w:t>Dokumentų praradimas apima trečiųjų asmenų nuostolius dėl dokumentų, perduotų draudėjui, atstatymo ar atkūrimo, jeigu šie dokumentai netyčia buvo sugadinti, prarasti ar sunaikinti dėl draudžiamojo įvykio.</w:t>
            </w:r>
          </w:p>
          <w:bookmarkEnd w:id="4"/>
          <w:p w14:paraId="7F47489D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CB99AB4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8.1.1.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Loss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documents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70EC58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27B6AC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Loss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third-party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losses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repair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replacement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reconstitution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any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document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which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was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provided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third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party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due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fault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were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unintentionally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destroyed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damaged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lost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D30D4" w:rsidRPr="009859B7" w14:paraId="6FB83A75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0FA217D" w14:textId="77777777" w:rsidR="00BD30D4" w:rsidRPr="008347E6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7E6">
              <w:rPr>
                <w:rFonts w:ascii="Arial" w:hAnsi="Arial" w:cs="Arial"/>
                <w:b/>
                <w:sz w:val="20"/>
                <w:szCs w:val="20"/>
              </w:rPr>
              <w:t xml:space="preserve">8.1.2. </w:t>
            </w:r>
            <w:bookmarkStart w:id="5" w:name="_Hlk31804109"/>
            <w:r w:rsidRPr="008347E6">
              <w:rPr>
                <w:rFonts w:ascii="Arial" w:hAnsi="Arial" w:cs="Arial"/>
                <w:b/>
                <w:sz w:val="20"/>
                <w:szCs w:val="20"/>
              </w:rPr>
              <w:t>Nesąžiningi darbuotojų veiksmai</w:t>
            </w:r>
            <w:bookmarkEnd w:id="5"/>
          </w:p>
          <w:p w14:paraId="06E387B0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6" w:name="_Hlk31804196"/>
            <w:bookmarkStart w:id="7" w:name="_Hlk31804208"/>
          </w:p>
          <w:p w14:paraId="61D92528" w14:textId="77777777" w:rsidR="00BD30D4" w:rsidRPr="00F303E6" w:rsidRDefault="00BD30D4" w:rsidP="00C134F1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303E6">
              <w:rPr>
                <w:rFonts w:ascii="Arial" w:hAnsi="Arial" w:cs="Arial"/>
                <w:bCs/>
                <w:iCs/>
                <w:sz w:val="20"/>
                <w:szCs w:val="20"/>
              </w:rPr>
              <w:t>Nesąžiningų darbuotojų veiksmų išplėtimas apima trečiųjų asmenų patirtus nuostolius dėl draudėjo nesąžiningų, piktybinių ar nusikalstamų veiksmų teikiant profesines paslaugas. Draudimo apsauga netaikoma direktoriams, vadovaujantiems asmenims ir valdybos nariams</w:t>
            </w:r>
            <w:bookmarkEnd w:id="6"/>
            <w:r w:rsidRPr="00F303E6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bookmarkEnd w:id="7"/>
          </w:p>
          <w:p w14:paraId="62734E8A" w14:textId="77777777" w:rsidR="00BD30D4" w:rsidRPr="009859B7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C98EA42" w14:textId="77777777" w:rsidR="00BD30D4" w:rsidRPr="009859B7" w:rsidRDefault="00BD30D4" w:rsidP="00C134F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8.1.2.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Dishonesty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employees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5FD5EC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E8099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Dishonesty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employee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claims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received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while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providing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professional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services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due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dishonest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malicious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criminal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acts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does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not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apply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directors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officers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management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board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D30D4" w:rsidRPr="009859B7" w14:paraId="3E604367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9A78249" w14:textId="77777777" w:rsidR="00BD30D4" w:rsidRPr="00F31179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.3. </w:t>
            </w:r>
            <w:bookmarkStart w:id="8" w:name="_Hlk31804221"/>
            <w:r w:rsidRPr="00F31179">
              <w:rPr>
                <w:rFonts w:ascii="Arial" w:hAnsi="Arial" w:cs="Arial"/>
                <w:b/>
                <w:sz w:val="20"/>
                <w:szCs w:val="20"/>
              </w:rPr>
              <w:t>Subrangovų padaryta žala</w:t>
            </w:r>
            <w:bookmarkEnd w:id="8"/>
          </w:p>
          <w:p w14:paraId="7A3DCDA8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7AD81" w14:textId="77777777" w:rsidR="00BD30D4" w:rsidRPr="00F31179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9" w:name="_Hlk31804248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Draudimo apsauga galioja ir Draudėjo samdomiems subrangovams taikant Draudiko subrogacijos į juos teisę. Subrogacija – </w:t>
            </w:r>
            <w:r w:rsidRPr="00F3117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Draudėjo teisių į žalos atlyginimą perėjimas Draudikui, kai nuostoliai patiriami dėl samdomų subrangovų kaltės.</w:t>
            </w:r>
            <w:bookmarkEnd w:id="9"/>
          </w:p>
          <w:p w14:paraId="3197F0ED" w14:textId="77777777" w:rsidR="00BD30D4" w:rsidRPr="00F31179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3B6EA4A" w14:textId="77777777" w:rsidR="00BD30D4" w:rsidRPr="009859B7" w:rsidRDefault="00BD30D4" w:rsidP="00B95DD4">
            <w:pPr>
              <w:pStyle w:val="ListParagraph"/>
              <w:spacing w:after="160"/>
              <w:ind w:left="144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B46FE69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8.1.3.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Liability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sub-contractors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D9AE0C7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E1BF1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Professional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Indemnity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extended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Liability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sub-contractors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hired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when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reserves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possibility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subrogation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Subrogation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passing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right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claim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when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benefit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was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disbursed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third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persons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damages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inflicted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Insured’s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sub-contractors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</w:p>
          <w:p w14:paraId="10F91326" w14:textId="77777777" w:rsidR="00BD30D4" w:rsidRPr="009859B7" w:rsidRDefault="00BD30D4" w:rsidP="00B95DD4">
            <w:pPr>
              <w:pStyle w:val="ListParagraph"/>
              <w:spacing w:after="160"/>
              <w:ind w:left="1440" w:firstLine="0"/>
              <w:rPr>
                <w:rFonts w:cs="Arial"/>
                <w:b/>
                <w:sz w:val="20"/>
                <w:szCs w:val="20"/>
              </w:rPr>
            </w:pPr>
          </w:p>
        </w:tc>
      </w:tr>
      <w:tr w:rsidR="00BD30D4" w:rsidRPr="009859B7" w14:paraId="5B0D50A1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86EDA58" w14:textId="77777777" w:rsidR="00BD30D4" w:rsidRPr="009859B7" w:rsidRDefault="00BD30D4" w:rsidP="00C134F1">
            <w:pPr>
              <w:pStyle w:val="ListParagraph"/>
              <w:spacing w:after="160"/>
              <w:ind w:left="144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DE23B65" w14:textId="77777777" w:rsidR="00BD30D4" w:rsidRPr="009859B7" w:rsidRDefault="00BD30D4" w:rsidP="00C134F1">
            <w:pPr>
              <w:pStyle w:val="ListParagraph"/>
              <w:spacing w:after="160"/>
              <w:ind w:left="1440" w:firstLine="0"/>
              <w:rPr>
                <w:rFonts w:cs="Arial"/>
                <w:b/>
                <w:sz w:val="20"/>
                <w:szCs w:val="20"/>
              </w:rPr>
            </w:pPr>
          </w:p>
        </w:tc>
      </w:tr>
      <w:tr w:rsidR="00BD30D4" w:rsidRPr="009859B7" w14:paraId="51D7D755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8DB2082" w14:textId="5CD5B2D1" w:rsidR="00BD30D4" w:rsidRPr="00F31179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20556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>rivatumas</w:t>
            </w:r>
          </w:p>
          <w:p w14:paraId="797AE3E7" w14:textId="5597F8B6" w:rsidR="00BD30D4" w:rsidRPr="00F31179" w:rsidRDefault="00BD30D4" w:rsidP="00C134F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A861C76" w14:textId="0181D521" w:rsidR="00BD30D4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31179">
              <w:rPr>
                <w:rFonts w:ascii="Arial" w:hAnsi="Arial" w:cs="Arial"/>
                <w:sz w:val="20"/>
                <w:szCs w:val="20"/>
              </w:rPr>
              <w:t>rivatumo apsauga apima:</w:t>
            </w:r>
          </w:p>
          <w:p w14:paraId="05FECB57" w14:textId="291B893E" w:rsidR="00BD30D4" w:rsidRPr="00F31179" w:rsidRDefault="00BD30D4" w:rsidP="00C134F1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eastAsia="Times New Roman" w:cs="Arial"/>
                <w:sz w:val="20"/>
                <w:szCs w:val="20"/>
              </w:rPr>
            </w:pPr>
            <w:r w:rsidRPr="00F31179">
              <w:rPr>
                <w:rFonts w:eastAsia="Times New Roman" w:cs="Arial"/>
                <w:sz w:val="20"/>
                <w:szCs w:val="20"/>
              </w:rPr>
              <w:t>Atsakomybę už privatumą;</w:t>
            </w:r>
          </w:p>
          <w:p w14:paraId="30D03243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E250B1B" w14:textId="4D4C8903" w:rsidR="00BD30D4" w:rsidRPr="009859B7" w:rsidRDefault="00BD30D4" w:rsidP="00C134F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20556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Privacy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Liability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27F1B0" w14:textId="23957349" w:rsidR="00BD30D4" w:rsidRPr="009859B7" w:rsidRDefault="00BD30D4" w:rsidP="00C134F1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6FAF79" w14:textId="0B24E8B0" w:rsidR="00BD30D4" w:rsidRPr="009859B7" w:rsidRDefault="00BD30D4" w:rsidP="00C134F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>Privacy</w:t>
            </w:r>
            <w:proofErr w:type="spellEnd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>Liability</w:t>
            </w:r>
            <w:proofErr w:type="spellEnd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0AB9A2F" w14:textId="5CB8FF4C" w:rsidR="00BD30D4" w:rsidRPr="009859B7" w:rsidRDefault="00BD30D4" w:rsidP="00C134F1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eastAsia="Times New Roman" w:cs="Arial"/>
                <w:i/>
                <w:color w:val="000000"/>
                <w:sz w:val="20"/>
                <w:szCs w:val="20"/>
              </w:rPr>
            </w:pPr>
            <w:proofErr w:type="spellStart"/>
            <w:r w:rsidRPr="009859B7">
              <w:rPr>
                <w:rFonts w:eastAsia="Times New Roman" w:cs="Arial"/>
                <w:color w:val="000000"/>
                <w:sz w:val="20"/>
                <w:szCs w:val="20"/>
              </w:rPr>
              <w:t>Privacy</w:t>
            </w:r>
            <w:proofErr w:type="spellEnd"/>
            <w:r w:rsidRPr="009859B7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eastAsia="Times New Roman" w:cs="Arial"/>
                <w:color w:val="000000"/>
                <w:sz w:val="20"/>
                <w:szCs w:val="20"/>
              </w:rPr>
              <w:t>Liability</w:t>
            </w:r>
            <w:proofErr w:type="spellEnd"/>
            <w:r w:rsidRPr="009859B7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  <w:p w14:paraId="288A0468" w14:textId="753E66B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0D4" w:rsidRPr="009859B7" w14:paraId="00A6B7D1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DC28F0C" w14:textId="77777777" w:rsidR="00BD30D4" w:rsidRPr="009859B7" w:rsidRDefault="00BD30D4" w:rsidP="00B95DD4">
            <w:pPr>
              <w:pStyle w:val="ListParagraph"/>
              <w:ind w:left="1429" w:firstLine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99A5475" w14:textId="77777777" w:rsidR="00BD30D4" w:rsidRPr="009859B7" w:rsidRDefault="00BD30D4" w:rsidP="00B95DD4">
            <w:pPr>
              <w:pStyle w:val="ListParagraph"/>
              <w:ind w:left="1429" w:firstLine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BD30D4" w:rsidRPr="009859B7" w14:paraId="2D9AFC40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A036F63" w14:textId="77777777" w:rsidR="00BD30D4" w:rsidRPr="009859B7" w:rsidRDefault="00BD30D4" w:rsidP="00B95DD4">
            <w:pPr>
              <w:pStyle w:val="ListParagraph"/>
              <w:ind w:left="1434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B21DFFF" w14:textId="77777777" w:rsidR="00BD30D4" w:rsidRPr="009859B7" w:rsidRDefault="00BD30D4" w:rsidP="00B95DD4">
            <w:pPr>
              <w:pStyle w:val="ListParagraph"/>
              <w:ind w:left="1434" w:firstLine="0"/>
              <w:rPr>
                <w:rFonts w:cs="Arial"/>
                <w:b/>
                <w:sz w:val="20"/>
                <w:szCs w:val="20"/>
              </w:rPr>
            </w:pPr>
          </w:p>
        </w:tc>
      </w:tr>
      <w:tr w:rsidR="00BD30D4" w:rsidRPr="009859B7" w14:paraId="2C506A73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DCBE916" w14:textId="067C4E87" w:rsidR="00BD30D4" w:rsidRPr="00F31179" w:rsidRDefault="00BD30D4" w:rsidP="00C134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B95DD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0" w:name="_Hlk31804400"/>
            <w:r w:rsidRPr="00F31179">
              <w:rPr>
                <w:rFonts w:ascii="Arial" w:hAnsi="Arial" w:cs="Arial"/>
                <w:b/>
                <w:iCs/>
                <w:sz w:val="20"/>
                <w:szCs w:val="20"/>
              </w:rPr>
              <w:t>Išpirka dėl kibernetinio įvykio</w:t>
            </w:r>
            <w:bookmarkEnd w:id="10"/>
          </w:p>
          <w:p w14:paraId="02B9AF90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890CE21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11" w:name="_Hlk31804411"/>
            <w:r w:rsidRPr="00F31179">
              <w:rPr>
                <w:rFonts w:ascii="Arial" w:hAnsi="Arial" w:cs="Arial"/>
                <w:bCs/>
                <w:iCs/>
                <w:sz w:val="20"/>
                <w:szCs w:val="20"/>
              </w:rPr>
              <w:t>Išpirka dėl kibernetinio įvykio apima išpirkos reikalavimą, jei kompiuteris blokuojamas ar pavagiama jautri kliento informacija. Taikoma tik tuo atveju, jei Draudikas iš anksto patvirtina išpirką.</w:t>
            </w:r>
          </w:p>
          <w:bookmarkEnd w:id="11"/>
          <w:p w14:paraId="56407EE9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351A6F6" w14:textId="637B2661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B95DD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Cyber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Extortion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when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ransom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proofErr w:type="spellEnd"/>
          </w:p>
          <w:p w14:paraId="6E7ED793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2102B1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Cyber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Extortion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ransom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requirement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case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computer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blocking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theft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sensitive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client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Applicable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only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subject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prior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ransom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payment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approval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470F413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0D4" w:rsidRPr="009859B7" w14:paraId="2658AC48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41086D6" w14:textId="69DD5693" w:rsidR="00BD30D4" w:rsidRPr="00F31179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95DD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2" w:name="_Hlk31804424"/>
            <w:r w:rsidRPr="00F31179">
              <w:rPr>
                <w:rFonts w:ascii="Arial" w:hAnsi="Arial" w:cs="Arial"/>
                <w:b/>
                <w:sz w:val="20"/>
                <w:szCs w:val="20"/>
              </w:rPr>
              <w:t>Žala susijusioms įmonėms</w:t>
            </w:r>
            <w:bookmarkEnd w:id="12"/>
          </w:p>
          <w:p w14:paraId="2911770A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10966C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3" w:name="_Hlk31804433"/>
            <w:r w:rsidRPr="00F31179">
              <w:rPr>
                <w:rFonts w:ascii="Arial" w:hAnsi="Arial" w:cs="Arial"/>
                <w:bCs/>
                <w:sz w:val="20"/>
                <w:szCs w:val="20"/>
              </w:rPr>
              <w:t>Draudimo apsauga taip pat galioja iš susijusių įmonių gautoms pretenzijoms</w:t>
            </w:r>
            <w:bookmarkEnd w:id="13"/>
            <w:r w:rsidRPr="00F3117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677443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4E4360A" w14:textId="012AD6B2" w:rsidR="00BD30D4" w:rsidRPr="009859B7" w:rsidRDefault="00BD30D4" w:rsidP="00C134F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B95DD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Loss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companies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F9CF4F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92F3F3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shall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also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liability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claims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associated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companies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BA57A7B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0D4" w:rsidRPr="009859B7" w14:paraId="559B4077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2D619B4" w14:textId="794C5A23" w:rsidR="00BD30D4" w:rsidRPr="00F31179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179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4" w:name="_Hlk31804448"/>
            <w:r w:rsidRPr="00F31179">
              <w:rPr>
                <w:rFonts w:ascii="Arial" w:hAnsi="Arial" w:cs="Arial"/>
                <w:b/>
                <w:sz w:val="20"/>
                <w:szCs w:val="20"/>
              </w:rPr>
              <w:t>Verslo nutrūkimas dėl kibernetinio įvykio</w:t>
            </w:r>
            <w:bookmarkEnd w:id="14"/>
          </w:p>
          <w:p w14:paraId="5AA4D62C" w14:textId="77777777" w:rsidR="00BD30D4" w:rsidRPr="00F31179" w:rsidRDefault="00BD30D4" w:rsidP="00C134F1">
            <w:pPr>
              <w:pStyle w:val="ListParagraph"/>
              <w:ind w:firstLine="0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00B93047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5" w:name="_Hlk31804456"/>
            <w:r w:rsidRPr="00F31179">
              <w:rPr>
                <w:rFonts w:ascii="Arial" w:hAnsi="Arial" w:cs="Arial"/>
                <w:sz w:val="20"/>
                <w:szCs w:val="20"/>
              </w:rPr>
              <w:t>Verslo nutrūkimas dėl kibernetinio įvykio apima</w:t>
            </w:r>
            <w:r w:rsidRPr="00F3117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7DC28C" w14:textId="77777777" w:rsidR="00BD30D4" w:rsidRPr="00F31179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Papildomas išlaidas alternatyviems produktams ar paslaugoms</w:t>
            </w:r>
          </w:p>
          <w:p w14:paraId="029D5BE4" w14:textId="77777777" w:rsidR="00BD30D4" w:rsidRPr="00F31179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Papildomas darbo jėgos išlaidas</w:t>
            </w:r>
          </w:p>
          <w:p w14:paraId="69DAEF66" w14:textId="77777777" w:rsidR="00BD30D4" w:rsidRPr="00F31179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Papildomas išlaidas konsultacijoms</w:t>
            </w:r>
          </w:p>
          <w:p w14:paraId="0F1F1764" w14:textId="77777777" w:rsidR="00BD30D4" w:rsidRPr="00F31179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Išlaidas viršvalandžiams.</w:t>
            </w:r>
          </w:p>
          <w:bookmarkEnd w:id="15"/>
          <w:p w14:paraId="36D1210F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FEE0C1A" w14:textId="7279AE1E" w:rsidR="00BD30D4" w:rsidRPr="009859B7" w:rsidRDefault="00BD30D4" w:rsidP="00C134F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lastRenderedPageBreak/>
              <w:t>8.1.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Interruption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as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cyber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event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A52F825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Interruption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C066DD9" w14:textId="77777777" w:rsidR="00BD30D4" w:rsidRPr="009859B7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Additional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alternative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sources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products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/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services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DB0DF78" w14:textId="77777777" w:rsidR="00BD30D4" w:rsidRPr="009859B7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Additional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employment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579DCEE" w14:textId="77777777" w:rsidR="00BD30D4" w:rsidRPr="009859B7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Cs/>
                <w:i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Additional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consultation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6F1D643C" w14:textId="77777777" w:rsidR="00BD30D4" w:rsidRPr="009859B7" w:rsidRDefault="00BD30D4" w:rsidP="00C134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Overtime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BD30D4" w:rsidRPr="009859B7" w14:paraId="19A8B872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004FA02" w14:textId="560FB840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6" w:name="_Hlk31804464"/>
            <w:r w:rsidRPr="00F31179">
              <w:rPr>
                <w:rFonts w:ascii="Arial" w:hAnsi="Arial" w:cs="Arial"/>
                <w:b/>
                <w:iCs/>
                <w:sz w:val="20"/>
                <w:szCs w:val="20"/>
              </w:rPr>
              <w:t>Kibernetiniai nusikaltimai, įskaitant sukčiavimą, vagystę bei įsilaužimą</w:t>
            </w:r>
            <w:bookmarkEnd w:id="16"/>
          </w:p>
          <w:p w14:paraId="19F80455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ACAF00B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17" w:name="_Hlk31804473"/>
            <w:r w:rsidRPr="00F31179">
              <w:rPr>
                <w:rFonts w:ascii="Arial" w:hAnsi="Arial" w:cs="Arial"/>
                <w:bCs/>
                <w:iCs/>
                <w:sz w:val="20"/>
                <w:szCs w:val="20"/>
              </w:rPr>
              <w:t>Kibernetiniai nusikaltimai apima:</w:t>
            </w:r>
          </w:p>
          <w:p w14:paraId="3667B48E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F31179">
              <w:rPr>
                <w:rFonts w:cs="Arial"/>
                <w:bCs/>
                <w:iCs/>
                <w:sz w:val="20"/>
                <w:szCs w:val="20"/>
              </w:rPr>
              <w:t>Lėšų pervedimą sukčiavimo tikslais</w:t>
            </w:r>
          </w:p>
          <w:p w14:paraId="43868E44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F31179">
              <w:rPr>
                <w:rFonts w:cs="Arial"/>
                <w:bCs/>
                <w:iCs/>
                <w:sz w:val="20"/>
                <w:szCs w:val="20"/>
              </w:rPr>
              <w:t>Sąskaitoje esančių lėšų vagystę</w:t>
            </w:r>
          </w:p>
          <w:p w14:paraId="1C0CA903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F31179">
              <w:rPr>
                <w:rFonts w:cs="Arial"/>
                <w:bCs/>
                <w:iCs/>
                <w:sz w:val="20"/>
                <w:szCs w:val="20"/>
              </w:rPr>
              <w:t>Asmeninių lėšų vagystę</w:t>
            </w:r>
          </w:p>
          <w:p w14:paraId="2CBC978E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F31179">
              <w:rPr>
                <w:rFonts w:cs="Arial"/>
                <w:bCs/>
                <w:iCs/>
                <w:sz w:val="20"/>
                <w:szCs w:val="20"/>
              </w:rPr>
              <w:t>Įmonės tapatybės vagystę</w:t>
            </w:r>
          </w:p>
          <w:p w14:paraId="5A0EF6A7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F31179">
              <w:rPr>
                <w:rFonts w:cs="Arial"/>
                <w:bCs/>
                <w:iCs/>
                <w:sz w:val="20"/>
                <w:szCs w:val="20"/>
              </w:rPr>
              <w:t>Telefoninius įsilaužimus</w:t>
            </w:r>
          </w:p>
          <w:p w14:paraId="0B195D3B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F31179">
              <w:rPr>
                <w:rFonts w:cs="Arial"/>
                <w:bCs/>
                <w:iCs/>
                <w:sz w:val="20"/>
                <w:szCs w:val="20"/>
              </w:rPr>
              <w:t>Sukčiavimą apsimetant.</w:t>
            </w:r>
          </w:p>
          <w:bookmarkEnd w:id="17"/>
          <w:p w14:paraId="671A5DDF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990321D" w14:textId="39F3EBB2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Cyber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Crime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incl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fraud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theft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hacking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BDF7746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EF9245" w14:textId="77777777" w:rsidR="00BD30D4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CB32BE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Cyber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Crime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166560D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Funds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Transfer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Fraud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5DFFFEF2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i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Theft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Funds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Held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Escrow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0E47C08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Theft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of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Personal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Funds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18770AE3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Corporate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Identity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Theft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29E960FC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Telephone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Hacking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93A7810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Phishing</w:t>
            </w:r>
            <w:proofErr w:type="spellEnd"/>
            <w:r w:rsidRPr="009859B7">
              <w:rPr>
                <w:rFonts w:cs="Arial"/>
                <w:bCs/>
                <w:i/>
                <w:sz w:val="20"/>
                <w:szCs w:val="20"/>
              </w:rPr>
              <w:t>.</w:t>
            </w:r>
          </w:p>
          <w:p w14:paraId="531CF9D1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0D4" w:rsidRPr="009859B7" w14:paraId="039EDAA1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8B8A801" w14:textId="3DACEA47" w:rsidR="00BD30D4" w:rsidRPr="00F31179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179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8" w:name="_Hlk31804484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Reputacijos atstatymo išlaidos</w:t>
            </w:r>
          </w:p>
          <w:bookmarkEnd w:id="18"/>
          <w:p w14:paraId="5F123036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D07F94" w14:textId="77777777" w:rsidR="00BD30D4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9" w:name="_Hlk31804493"/>
            <w:r w:rsidRPr="00F31179">
              <w:rPr>
                <w:rFonts w:ascii="Arial" w:hAnsi="Arial" w:cs="Arial"/>
                <w:bCs/>
                <w:sz w:val="20"/>
                <w:szCs w:val="20"/>
              </w:rPr>
              <w:t>Reputacijos atstatymo išlaidos atlygina Draudėjo patirtas pagrįstas išlaidas reputacijos atkūrimui dėl:</w:t>
            </w:r>
          </w:p>
          <w:p w14:paraId="74BB232F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41BAC9" w14:textId="77777777" w:rsidR="00BD30D4" w:rsidRDefault="00BD30D4" w:rsidP="00C134F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Žalos, padarytos teikiant draudimo sutartyje numatytas paslaugas;</w:t>
            </w:r>
          </w:p>
          <w:p w14:paraId="56A77C79" w14:textId="77777777" w:rsidR="00BD30D4" w:rsidRPr="00F31179" w:rsidRDefault="00BD30D4" w:rsidP="00C134F1">
            <w:pPr>
              <w:pStyle w:val="ListParagraph"/>
              <w:ind w:left="1440" w:firstLine="0"/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725F046C" w14:textId="77777777" w:rsidR="00BD30D4" w:rsidRPr="00F31179" w:rsidRDefault="00BD30D4" w:rsidP="00C134F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Neigiamų pranešimų ar nuomonės skelbiamos žiniasklaidos priemonėmis.</w:t>
            </w:r>
          </w:p>
          <w:bookmarkEnd w:id="19"/>
          <w:p w14:paraId="4239949A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606AB0B" w14:textId="45702BA5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Reputation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recovery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DC8955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D4E87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Reputation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recovery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incurred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reasonable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restore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mitigate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reputation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damage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due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B0A8A46" w14:textId="77777777" w:rsidR="00BD30D4" w:rsidRPr="009859B7" w:rsidRDefault="00BD30D4" w:rsidP="00C134F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9859B7">
              <w:rPr>
                <w:rFonts w:cs="Arial"/>
                <w:bCs/>
                <w:sz w:val="20"/>
                <w:szCs w:val="20"/>
              </w:rPr>
              <w:t xml:space="preserve">A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claim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which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was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received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while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providing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services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indicated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contract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E679BBD" w14:textId="77777777" w:rsidR="00BD30D4" w:rsidRPr="009859B7" w:rsidRDefault="00BD30D4" w:rsidP="00C134F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Negative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statements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in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any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press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release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or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published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by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any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print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or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electronic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media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outlet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7CE6253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0D4" w:rsidRPr="009859B7" w14:paraId="4CF02828" w14:textId="77777777" w:rsidTr="00C134F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036091D" w14:textId="212A7619" w:rsidR="00BD30D4" w:rsidRPr="00F31179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179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20" w:name="_Hlk31804508"/>
            <w:r w:rsidRPr="00F31179">
              <w:rPr>
                <w:rFonts w:ascii="Arial" w:hAnsi="Arial" w:cs="Arial"/>
                <w:b/>
                <w:sz w:val="20"/>
                <w:szCs w:val="20"/>
              </w:rPr>
              <w:t>Nuostolio kompensavimas</w:t>
            </w:r>
          </w:p>
          <w:bookmarkEnd w:id="20"/>
          <w:p w14:paraId="340860F9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7CF638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21" w:name="_Hlk31804530"/>
            <w:r w:rsidRPr="00F31179">
              <w:rPr>
                <w:rFonts w:ascii="Arial" w:hAnsi="Arial" w:cs="Arial"/>
                <w:bCs/>
                <w:sz w:val="20"/>
                <w:szCs w:val="20"/>
              </w:rPr>
              <w:t>Draudimo apsauga taip pat turi apimti ir šias Draudėjo išlaidas susijusias su draudiminiu įvykiu:</w:t>
            </w:r>
          </w:p>
          <w:p w14:paraId="14FE8854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Gynybos ir nuostolių mažinimo išlaidas</w:t>
            </w:r>
          </w:p>
          <w:p w14:paraId="03C0CB05" w14:textId="77777777" w:rsidR="00BD30D4" w:rsidRPr="00F31179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r w:rsidRPr="00F31179">
              <w:rPr>
                <w:rFonts w:cs="Arial"/>
                <w:bCs/>
                <w:sz w:val="20"/>
                <w:szCs w:val="20"/>
              </w:rPr>
              <w:t>Dalyvavimo teisme išlaidas.</w:t>
            </w:r>
          </w:p>
          <w:p w14:paraId="163943C1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2" w:name="_Hlk31804537"/>
            <w:bookmarkEnd w:id="21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Bendra pastaba:</w:t>
            </w:r>
          </w:p>
          <w:p w14:paraId="2DE8FAC9" w14:textId="77777777" w:rsidR="00BD30D4" w:rsidRPr="00F31179" w:rsidRDefault="00BD30D4" w:rsidP="00C134F1">
            <w:pPr>
              <w:pStyle w:val="ListParagraph"/>
              <w:ind w:firstLine="0"/>
              <w:jc w:val="both"/>
              <w:rPr>
                <w:rFonts w:cs="Arial"/>
                <w:sz w:val="20"/>
                <w:szCs w:val="20"/>
              </w:rPr>
            </w:pPr>
          </w:p>
          <w:p w14:paraId="5DE9C949" w14:textId="77777777" w:rsidR="00BD30D4" w:rsidRPr="00F31179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179">
              <w:rPr>
                <w:rFonts w:ascii="Arial" w:hAnsi="Arial" w:cs="Arial"/>
                <w:sz w:val="20"/>
                <w:szCs w:val="20"/>
              </w:rPr>
              <w:t>Draudiko taikomos draudimo sąlygos ir apibrėžimai gali skirtis nuo nurodytų Techninėje specifikacijoje, tačiau su sąlyga, kad draudimo apsauga nėra siauresnė už Techninėje specifikacijoje numatytus reikalavimus.</w:t>
            </w:r>
          </w:p>
          <w:bookmarkEnd w:id="22"/>
          <w:p w14:paraId="6CDBCE4F" w14:textId="77777777" w:rsidR="00BD30D4" w:rsidRPr="00F31179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868FE7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04B7DA4" w14:textId="582F80EC" w:rsidR="00BD30D4" w:rsidRPr="009859B7" w:rsidRDefault="00BD30D4" w:rsidP="00C134F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945896">
              <w:rPr>
                <w:rFonts w:ascii="Arial" w:hAnsi="Arial" w:cs="Arial"/>
                <w:b/>
                <w:sz w:val="20"/>
                <w:szCs w:val="20"/>
              </w:rPr>
              <w:t>.10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Claim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Expenses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B1FC58F" w14:textId="77777777" w:rsidR="00BD30D4" w:rsidRPr="009859B7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EAD5A4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cover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shall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also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compensate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Insured’s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expenses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related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insured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Cs/>
                <w:sz w:val="20"/>
                <w:szCs w:val="20"/>
              </w:rPr>
              <w:t>claim</w:t>
            </w:r>
            <w:proofErr w:type="spellEnd"/>
            <w:r w:rsidRPr="009859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812D47C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Defence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and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Loss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mitigation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56E8612" w14:textId="77777777" w:rsidR="00BD30D4" w:rsidRPr="009859B7" w:rsidRDefault="00BD30D4" w:rsidP="00C134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Court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attendance</w:t>
            </w:r>
            <w:proofErr w:type="spellEnd"/>
            <w:r w:rsidRPr="009859B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cs="Arial"/>
                <w:bCs/>
                <w:sz w:val="20"/>
                <w:szCs w:val="20"/>
              </w:rPr>
              <w:t>costs</w:t>
            </w:r>
            <w:proofErr w:type="spellEnd"/>
            <w:r w:rsidRPr="009859B7">
              <w:rPr>
                <w:rFonts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6C1A1F07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</w:t>
            </w:r>
            <w:proofErr w:type="spellStart"/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>notice</w:t>
            </w:r>
            <w:proofErr w:type="spellEnd"/>
            <w:r w:rsidRPr="00985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1253C1D" w14:textId="77777777" w:rsidR="00BD30D4" w:rsidRPr="009859B7" w:rsidRDefault="00BD30D4" w:rsidP="00C134F1">
            <w:pPr>
              <w:pStyle w:val="ListParagraph"/>
              <w:ind w:firstLine="0"/>
              <w:jc w:val="both"/>
              <w:rPr>
                <w:rFonts w:cs="Arial"/>
                <w:sz w:val="20"/>
                <w:szCs w:val="20"/>
              </w:rPr>
            </w:pPr>
          </w:p>
          <w:p w14:paraId="4C800604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Applicable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definitions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might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differ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those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enclosed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technical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specification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however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provided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coverage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narrower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enclosed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technical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specification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73AD5B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E5718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0D4" w:rsidRPr="009859B7" w14:paraId="5ACFFCEA" w14:textId="77777777" w:rsidTr="00C134F1">
        <w:tc>
          <w:tcPr>
            <w:tcW w:w="4814" w:type="dxa"/>
            <w:tcBorders>
              <w:top w:val="nil"/>
            </w:tcBorders>
          </w:tcPr>
          <w:p w14:paraId="34416ADC" w14:textId="77777777" w:rsidR="00BD30D4" w:rsidRPr="009859B7" w:rsidRDefault="00BD30D4" w:rsidP="00C134F1">
            <w:pPr>
              <w:pageBreakBefore/>
              <w:jc w:val="both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lastRenderedPageBreak/>
              <w:t>IX</w:t>
            </w:r>
            <w:r w:rsidRPr="008D42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23" w:name="_Hlk31804558"/>
            <w:r w:rsidRPr="008D42DF">
              <w:rPr>
                <w:rFonts w:ascii="Arial" w:hAnsi="Arial" w:cs="Arial"/>
                <w:b/>
                <w:sz w:val="20"/>
                <w:szCs w:val="20"/>
              </w:rPr>
              <w:t>Nuostolių istorija</w:t>
            </w:r>
            <w:bookmarkEnd w:id="23"/>
          </w:p>
          <w:p w14:paraId="4CAD5C14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14:paraId="31B24328" w14:textId="77777777" w:rsidR="00BD30D4" w:rsidRPr="009859B7" w:rsidRDefault="00BD30D4" w:rsidP="00C134F1">
            <w:pPr>
              <w:pageBreakBefore/>
              <w:jc w:val="both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>laims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history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C731D8" w14:textId="77777777" w:rsidR="00BD30D4" w:rsidRPr="009859B7" w:rsidRDefault="00BD30D4" w:rsidP="00C13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899"/>
        <w:gridCol w:w="6425"/>
      </w:tblGrid>
      <w:tr w:rsidR="00BD30D4" w:rsidRPr="00F31179" w14:paraId="495013D0" w14:textId="77777777" w:rsidTr="00C134F1">
        <w:trPr>
          <w:trHeight w:val="679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DA" w14:textId="77777777" w:rsidR="00BD30D4" w:rsidRPr="00F31179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proofErr w:type="spellEnd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claim</w:t>
            </w:r>
            <w:proofErr w:type="spellEnd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Įvykio data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B725" w14:textId="77777777" w:rsidR="00BD30D4" w:rsidRPr="00F31179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Cost</w:t>
            </w:r>
            <w:proofErr w:type="spellEnd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claim</w:t>
            </w:r>
            <w:proofErr w:type="spellEnd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Nuostolio dydis, EUR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1CF782" w14:textId="77777777" w:rsidR="00BD30D4" w:rsidRPr="00F31179" w:rsidRDefault="00BD30D4" w:rsidP="00C134F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1179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proofErr w:type="spellEnd"/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proofErr w:type="spellEnd"/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/>
                <w:sz w:val="20"/>
                <w:szCs w:val="20"/>
              </w:rPr>
              <w:t>claim</w:t>
            </w:r>
            <w:proofErr w:type="spellEnd"/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 / Trumpas įvykio aprašymas</w:t>
            </w:r>
          </w:p>
        </w:tc>
      </w:tr>
      <w:tr w:rsidR="00BD30D4" w:rsidRPr="00F31179" w14:paraId="1F325407" w14:textId="77777777" w:rsidTr="00C134F1">
        <w:trPr>
          <w:trHeight w:val="103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E762" w14:textId="77777777" w:rsidR="00BD30D4" w:rsidRPr="00F31179" w:rsidRDefault="00BD30D4" w:rsidP="00C134F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179">
              <w:rPr>
                <w:rFonts w:ascii="Arial" w:hAnsi="Arial" w:cs="Arial"/>
                <w:bCs/>
                <w:sz w:val="20"/>
                <w:szCs w:val="20"/>
              </w:rPr>
              <w:t>16 12 2019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65C1" w14:textId="77777777" w:rsidR="00BD30D4" w:rsidRPr="00F31179" w:rsidRDefault="00BD30D4" w:rsidP="00C134F1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1179">
              <w:rPr>
                <w:rFonts w:ascii="Arial" w:hAnsi="Arial" w:cs="Arial"/>
                <w:bCs/>
                <w:sz w:val="20"/>
                <w:szCs w:val="20"/>
              </w:rPr>
              <w:t>40.000*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357E13" w14:textId="77777777" w:rsidR="00BD30D4" w:rsidRPr="00F31179" w:rsidRDefault="00BD30D4" w:rsidP="00C134F1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Losses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forfeiture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incurred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customer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due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incorrect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incorrectly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calculated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overtime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night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off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holidays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 / Nuostoliai (netesybos) dėl draudėjo neteisingai apskaičiuoto užmokesčio </w:t>
            </w:r>
            <w:r w:rsidRPr="00F31179">
              <w:rPr>
                <w:rFonts w:ascii="Arial" w:hAnsi="Arial" w:cs="Arial"/>
                <w:noProof/>
                <w:sz w:val="20"/>
                <w:szCs w:val="20"/>
              </w:rPr>
              <w:t>už viršvalandinį, naktinį darbą bei darbą poilsio bei švenčių dienomis.</w:t>
            </w:r>
          </w:p>
        </w:tc>
      </w:tr>
    </w:tbl>
    <w:p w14:paraId="68CE6210" w14:textId="77777777" w:rsidR="00BD30D4" w:rsidRPr="00F31179" w:rsidRDefault="00BD30D4" w:rsidP="00BD30D4">
      <w:pPr>
        <w:pStyle w:val="ListParagraph"/>
        <w:tabs>
          <w:tab w:val="left" w:pos="709"/>
        </w:tabs>
        <w:ind w:firstLine="0"/>
        <w:rPr>
          <w:rFonts w:cs="Arial"/>
          <w:sz w:val="20"/>
          <w:szCs w:val="20"/>
        </w:rPr>
      </w:pPr>
      <w:r w:rsidRPr="00F31179">
        <w:rPr>
          <w:rFonts w:cs="Arial"/>
          <w:sz w:val="20"/>
          <w:szCs w:val="20"/>
        </w:rPr>
        <w:t>*</w:t>
      </w:r>
      <w:proofErr w:type="spellStart"/>
      <w:r w:rsidRPr="00F31179">
        <w:rPr>
          <w:rFonts w:cs="Arial"/>
          <w:sz w:val="20"/>
          <w:szCs w:val="20"/>
        </w:rPr>
        <w:t>Including</w:t>
      </w:r>
      <w:proofErr w:type="spellEnd"/>
      <w:r w:rsidRPr="00F31179">
        <w:rPr>
          <w:rFonts w:cs="Arial"/>
          <w:sz w:val="20"/>
          <w:szCs w:val="20"/>
        </w:rPr>
        <w:t xml:space="preserve"> </w:t>
      </w:r>
      <w:proofErr w:type="spellStart"/>
      <w:r w:rsidRPr="00F31179">
        <w:rPr>
          <w:rFonts w:cs="Arial"/>
          <w:sz w:val="20"/>
          <w:szCs w:val="20"/>
        </w:rPr>
        <w:t>retention</w:t>
      </w:r>
      <w:proofErr w:type="spellEnd"/>
      <w:r w:rsidRPr="00F31179">
        <w:rPr>
          <w:rFonts w:cs="Arial"/>
          <w:sz w:val="20"/>
          <w:szCs w:val="20"/>
        </w:rPr>
        <w:t xml:space="preserve"> </w:t>
      </w:r>
      <w:proofErr w:type="spellStart"/>
      <w:r w:rsidRPr="00F31179">
        <w:rPr>
          <w:rFonts w:cs="Arial"/>
          <w:sz w:val="20"/>
          <w:szCs w:val="20"/>
        </w:rPr>
        <w:t>of</w:t>
      </w:r>
      <w:proofErr w:type="spellEnd"/>
      <w:r w:rsidRPr="00F31179">
        <w:rPr>
          <w:rFonts w:cs="Arial"/>
          <w:sz w:val="20"/>
          <w:szCs w:val="20"/>
        </w:rPr>
        <w:t xml:space="preserve"> EUR 10.000  / Įskaitant 10.000 EUR išskaitą</w:t>
      </w:r>
    </w:p>
    <w:p w14:paraId="50950004" w14:textId="77777777" w:rsidR="00BD30D4" w:rsidRPr="00F31179" w:rsidRDefault="00BD30D4" w:rsidP="00BD30D4">
      <w:pPr>
        <w:pStyle w:val="ListParagraph"/>
        <w:tabs>
          <w:tab w:val="left" w:pos="709"/>
        </w:tabs>
        <w:ind w:firstLine="0"/>
        <w:rPr>
          <w:rFonts w:cs="Arial"/>
          <w:sz w:val="20"/>
          <w:szCs w:val="20"/>
        </w:rPr>
      </w:pPr>
    </w:p>
    <w:p w14:paraId="7F2E6B1F" w14:textId="77777777" w:rsidR="00BD30D4" w:rsidRPr="009859B7" w:rsidRDefault="00BD30D4" w:rsidP="00BD30D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0D4" w:rsidRPr="009859B7" w14:paraId="25899C09" w14:textId="77777777" w:rsidTr="00BD30D4">
        <w:tc>
          <w:tcPr>
            <w:tcW w:w="4814" w:type="dxa"/>
          </w:tcPr>
          <w:p w14:paraId="32D08404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24" w:name="_GoBack"/>
            <w:r w:rsidRPr="006A58AD">
              <w:rPr>
                <w:rFonts w:ascii="Arial" w:hAnsi="Arial" w:cs="Arial"/>
                <w:b/>
                <w:bCs/>
                <w:sz w:val="20"/>
                <w:szCs w:val="20"/>
              </w:rPr>
              <w:t>X.</w:t>
            </w:r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5" w:name="_Hlk31804621"/>
            <w:r w:rsidRPr="00F31179">
              <w:rPr>
                <w:rFonts w:ascii="Arial" w:hAnsi="Arial" w:cs="Arial"/>
                <w:b/>
                <w:sz w:val="20"/>
                <w:szCs w:val="20"/>
              </w:rPr>
              <w:t>Išskaita</w:t>
            </w:r>
            <w:bookmarkEnd w:id="25"/>
          </w:p>
          <w:bookmarkEnd w:id="24"/>
          <w:p w14:paraId="04655BC2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B411B" w14:textId="6C7F459A" w:rsidR="00BD30D4" w:rsidRPr="00F31179" w:rsidRDefault="00BD30D4" w:rsidP="006E59D1">
            <w:pPr>
              <w:jc w:val="both"/>
              <w:rPr>
                <w:rFonts w:cs="Arial"/>
                <w:bCs/>
                <w:sz w:val="20"/>
                <w:szCs w:val="20"/>
              </w:rPr>
            </w:pPr>
            <w:bookmarkStart w:id="26" w:name="_Hlk31804631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Kiekvienam įvykiui taikoma </w:t>
            </w:r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10.000</w:t>
            </w:r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27" w:name="_Hlk31804644"/>
            <w:bookmarkEnd w:id="26"/>
          </w:p>
          <w:p w14:paraId="198D69D9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28" w:name="_Hlk31798641"/>
            <w:bookmarkEnd w:id="27"/>
          </w:p>
          <w:p w14:paraId="612276C8" w14:textId="335FC192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29" w:name="_Hlk31804662"/>
            <w:r w:rsidRPr="00F31179">
              <w:rPr>
                <w:rFonts w:ascii="Arial" w:hAnsi="Arial" w:cs="Arial"/>
                <w:bCs/>
                <w:sz w:val="20"/>
                <w:szCs w:val="20"/>
              </w:rPr>
              <w:t>Draudikas atsakingas tik už išskaitą viršijančio nuostolio kompensavimą</w:t>
            </w:r>
            <w:r w:rsidR="000C514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bookmarkEnd w:id="28"/>
          <w:bookmarkEnd w:id="29"/>
          <w:p w14:paraId="0233C568" w14:textId="77777777" w:rsidR="00BD30D4" w:rsidRPr="00F31179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728C5BB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X. </w:t>
            </w:r>
            <w:proofErr w:type="spellStart"/>
            <w:r w:rsidRPr="00F31179">
              <w:rPr>
                <w:rFonts w:ascii="Arial" w:hAnsi="Arial" w:cs="Arial"/>
                <w:b/>
                <w:sz w:val="20"/>
                <w:szCs w:val="20"/>
              </w:rPr>
              <w:t>Retention</w:t>
            </w:r>
            <w:proofErr w:type="spellEnd"/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2364B17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630DFD" w14:textId="0A51E504" w:rsidR="00BD30D4" w:rsidRPr="00F31179" w:rsidRDefault="00BD30D4" w:rsidP="006E59D1">
            <w:pPr>
              <w:jc w:val="both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Retention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EUR 10.000</w:t>
            </w:r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each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claim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531C94A7" w14:textId="77777777" w:rsidR="00BD30D4" w:rsidRPr="00F31179" w:rsidRDefault="00BD30D4" w:rsidP="00C134F1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7F9A2C" w14:textId="0717F368" w:rsidR="00BD30D4" w:rsidRPr="00F31179" w:rsidRDefault="00BD30D4" w:rsidP="00C134F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Insurer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shall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only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liable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excess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Retention</w:t>
            </w:r>
            <w:proofErr w:type="spellEnd"/>
            <w:r w:rsidRPr="00F311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which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shall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apply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F31179">
              <w:rPr>
                <w:rFonts w:ascii="Arial" w:hAnsi="Arial" w:cs="Arial"/>
                <w:bCs/>
                <w:sz w:val="20"/>
                <w:szCs w:val="20"/>
              </w:rPr>
              <w:t>each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31179">
              <w:rPr>
                <w:rFonts w:ascii="Arial" w:hAnsi="Arial" w:cs="Arial"/>
                <w:sz w:val="20"/>
                <w:szCs w:val="20"/>
              </w:rPr>
              <w:t>Claim</w:t>
            </w:r>
            <w:proofErr w:type="spellEnd"/>
            <w:r w:rsidRPr="00F311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C4A32BE" w14:textId="77777777" w:rsidR="00BD30D4" w:rsidRPr="00F31179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0D4" w:rsidRPr="009859B7" w14:paraId="4DA72F4F" w14:textId="77777777" w:rsidTr="00BD30D4">
        <w:tc>
          <w:tcPr>
            <w:tcW w:w="4814" w:type="dxa"/>
          </w:tcPr>
          <w:p w14:paraId="2B33C629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XI. </w:t>
            </w:r>
            <w:bookmarkStart w:id="30" w:name="_Hlk31804673"/>
            <w:r w:rsidRPr="00F31179">
              <w:rPr>
                <w:rFonts w:ascii="Arial" w:hAnsi="Arial" w:cs="Arial"/>
                <w:b/>
                <w:bCs/>
                <w:sz w:val="20"/>
                <w:szCs w:val="20"/>
              </w:rPr>
              <w:t>Teisė</w:t>
            </w:r>
            <w:bookmarkEnd w:id="30"/>
          </w:p>
          <w:p w14:paraId="7C45D1E8" w14:textId="77777777" w:rsidR="00BD30D4" w:rsidRPr="00F31179" w:rsidRDefault="00BD30D4" w:rsidP="00C134F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D92A845" w14:textId="77777777" w:rsidR="00BD30D4" w:rsidRPr="00F31179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1" w:name="_Hlk31804682"/>
            <w:r w:rsidRPr="00F31179">
              <w:rPr>
                <w:rFonts w:ascii="Arial" w:hAnsi="Arial" w:cs="Arial"/>
                <w:sz w:val="20"/>
                <w:szCs w:val="20"/>
              </w:rPr>
              <w:t>Bet kokie ginčai kilę dėl draudimo sutarties tarp Draudėjo ir Draudiko sprendžiami Lietuvos Respublikos teismuose taikant Lietuvos Respublikos teisę.</w:t>
            </w:r>
            <w:bookmarkEnd w:id="31"/>
          </w:p>
          <w:p w14:paraId="1E4E23A1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6B992AF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XI.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Law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83D0A16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B89E8C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9B7">
              <w:rPr>
                <w:rFonts w:ascii="Arial" w:hAnsi="Arial" w:cs="Arial"/>
                <w:sz w:val="20"/>
                <w:szCs w:val="20"/>
              </w:rPr>
              <w:t xml:space="preserve">Any dispute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Insured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Insurers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concerning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subjected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Lithuania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exclusive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jurisdiction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competent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court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Lithuania </w:t>
            </w:r>
          </w:p>
        </w:tc>
      </w:tr>
      <w:tr w:rsidR="00BD30D4" w:rsidRPr="009859B7" w14:paraId="7F09BE98" w14:textId="77777777" w:rsidTr="00BD30D4">
        <w:tc>
          <w:tcPr>
            <w:tcW w:w="4814" w:type="dxa"/>
          </w:tcPr>
          <w:p w14:paraId="21CECA5C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2DF">
              <w:rPr>
                <w:rFonts w:ascii="Arial" w:hAnsi="Arial" w:cs="Arial"/>
                <w:b/>
                <w:bCs/>
                <w:sz w:val="20"/>
                <w:szCs w:val="20"/>
              </w:rPr>
              <w:t>XII.</w:t>
            </w:r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2" w:name="_Hlk31804730"/>
            <w:bookmarkStart w:id="33" w:name="_Hlk31804712"/>
            <w:proofErr w:type="spellStart"/>
            <w:r w:rsidRPr="00F31179">
              <w:rPr>
                <w:rFonts w:ascii="Arial" w:hAnsi="Arial" w:cs="Arial"/>
                <w:b/>
                <w:sz w:val="20"/>
                <w:szCs w:val="20"/>
              </w:rPr>
              <w:t>Retroaktyvi</w:t>
            </w:r>
            <w:proofErr w:type="spellEnd"/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 draudimo apsaugos galiojimo data</w:t>
            </w:r>
            <w:bookmarkEnd w:id="32"/>
          </w:p>
          <w:bookmarkEnd w:id="33"/>
          <w:p w14:paraId="1535EB0A" w14:textId="77777777" w:rsidR="00BD30D4" w:rsidRPr="00F31179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69A46" w14:textId="77777777" w:rsidR="00BD30D4" w:rsidRPr="00F31179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r w:rsidRPr="00F31179">
              <w:rPr>
                <w:rFonts w:ascii="Arial" w:hAnsi="Arial" w:cs="Arial"/>
                <w:sz w:val="20"/>
                <w:szCs w:val="20"/>
              </w:rPr>
              <w:t>2017 m. sausio 1 d.</w:t>
            </w:r>
          </w:p>
          <w:p w14:paraId="56D95FBF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C3B06F0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8D42DF">
              <w:rPr>
                <w:rFonts w:ascii="Arial" w:hAnsi="Arial" w:cs="Arial"/>
                <w:b/>
                <w:bCs/>
                <w:sz w:val="20"/>
                <w:szCs w:val="20"/>
              </w:rPr>
              <w:t>XII.</w:t>
            </w:r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Retroactive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861C40" w14:textId="77777777" w:rsidR="00BD30D4" w:rsidRPr="009859B7" w:rsidRDefault="00BD30D4" w:rsidP="00C134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F68EDA" w14:textId="77777777" w:rsidR="00BD30D4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32599" w14:textId="77777777" w:rsidR="00BD30D4" w:rsidRPr="009859B7" w:rsidRDefault="00BD30D4" w:rsidP="00C134F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859B7">
              <w:rPr>
                <w:rFonts w:ascii="Arial" w:hAnsi="Arial" w:cs="Arial"/>
                <w:sz w:val="20"/>
                <w:szCs w:val="20"/>
              </w:rPr>
              <w:t>1</w:t>
            </w:r>
            <w:r w:rsidRPr="009859B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January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2017 </w:t>
            </w:r>
          </w:p>
          <w:p w14:paraId="6E5647B4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0D4" w:rsidRPr="009859B7" w14:paraId="73004771" w14:textId="77777777" w:rsidTr="00BD30D4">
        <w:tc>
          <w:tcPr>
            <w:tcW w:w="4814" w:type="dxa"/>
          </w:tcPr>
          <w:p w14:paraId="33E1D750" w14:textId="77777777" w:rsidR="00BD30D4" w:rsidRPr="00F31179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2DF">
              <w:rPr>
                <w:rFonts w:ascii="Arial" w:hAnsi="Arial" w:cs="Arial"/>
                <w:b/>
                <w:bCs/>
                <w:sz w:val="20"/>
                <w:szCs w:val="20"/>
              </w:rPr>
              <w:t>XIII.</w:t>
            </w:r>
            <w:r w:rsidRPr="00F3117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4" w:name="_Hlk31804758"/>
            <w:r w:rsidRPr="00F31179">
              <w:rPr>
                <w:rFonts w:ascii="Arial" w:hAnsi="Arial" w:cs="Arial"/>
                <w:b/>
                <w:sz w:val="20"/>
                <w:szCs w:val="20"/>
              </w:rPr>
              <w:t>Galiojimo terminas</w:t>
            </w:r>
            <w:bookmarkEnd w:id="34"/>
          </w:p>
          <w:p w14:paraId="7A0DE8E8" w14:textId="77777777" w:rsidR="00BD30D4" w:rsidRPr="00F31179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D0C1D" w14:textId="42A32B3B" w:rsidR="00BD30D4" w:rsidRPr="00F31179" w:rsidRDefault="00A14F07" w:rsidP="00A14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F07">
              <w:rPr>
                <w:rFonts w:ascii="Arial" w:hAnsi="Arial" w:cs="Arial"/>
                <w:sz w:val="20"/>
                <w:szCs w:val="20"/>
              </w:rPr>
              <w:t xml:space="preserve">Draudimo sutartis </w:t>
            </w:r>
            <w:r>
              <w:rPr>
                <w:rFonts w:ascii="Arial" w:hAnsi="Arial" w:cs="Arial"/>
                <w:sz w:val="20"/>
                <w:szCs w:val="20"/>
              </w:rPr>
              <w:t xml:space="preserve">turi </w:t>
            </w:r>
            <w:r w:rsidRPr="00A14F07">
              <w:rPr>
                <w:rFonts w:ascii="Arial" w:hAnsi="Arial" w:cs="Arial"/>
                <w:sz w:val="20"/>
                <w:szCs w:val="20"/>
              </w:rPr>
              <w:t>įsigalio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Pr="00A14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D69">
              <w:rPr>
                <w:rFonts w:ascii="Arial" w:hAnsi="Arial" w:cs="Arial"/>
                <w:sz w:val="20"/>
                <w:szCs w:val="20"/>
              </w:rPr>
              <w:t>2020.04 (tiksli data bus patikslinta)</w:t>
            </w:r>
            <w:r w:rsidRPr="00A14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B66384" w14:textId="06157F75" w:rsidR="00BD30D4" w:rsidRPr="00F31179" w:rsidRDefault="00BD30D4" w:rsidP="00A14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179">
              <w:rPr>
                <w:rFonts w:ascii="Arial" w:hAnsi="Arial" w:cs="Arial"/>
                <w:b/>
                <w:sz w:val="20"/>
                <w:szCs w:val="20"/>
              </w:rPr>
              <w:t xml:space="preserve">Poliso galiojimo laikotarpis – </w:t>
            </w:r>
            <w:r w:rsidR="006E2D69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6E2D69" w:rsidRPr="00F31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45CB">
              <w:rPr>
                <w:rFonts w:ascii="Arial" w:hAnsi="Arial" w:cs="Arial"/>
                <w:b/>
                <w:sz w:val="20"/>
                <w:szCs w:val="20"/>
              </w:rPr>
              <w:t>mėnesių</w:t>
            </w:r>
            <w:r w:rsidR="006E2D6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7149486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B92B3CA" w14:textId="77777777" w:rsidR="00BD30D4" w:rsidRPr="009859B7" w:rsidRDefault="00BD30D4" w:rsidP="00C134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2DF">
              <w:rPr>
                <w:rFonts w:ascii="Arial" w:hAnsi="Arial" w:cs="Arial"/>
                <w:b/>
                <w:bCs/>
                <w:sz w:val="20"/>
                <w:szCs w:val="20"/>
              </w:rPr>
              <w:t>XIII.</w:t>
            </w:r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859B7">
              <w:rPr>
                <w:rFonts w:ascii="Arial" w:hAnsi="Arial" w:cs="Arial"/>
                <w:b/>
                <w:sz w:val="20"/>
                <w:szCs w:val="20"/>
              </w:rPr>
              <w:t>nsured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0847CA" w14:textId="77777777" w:rsidR="00BD30D4" w:rsidRPr="009859B7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6F084" w14:textId="5B133887" w:rsidR="00BD30D4" w:rsidRPr="009859B7" w:rsidRDefault="00A14F07" w:rsidP="008347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4F07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  <w:r w:rsidRPr="00A14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4F07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A14F0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14F07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A14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4F07">
              <w:rPr>
                <w:rFonts w:ascii="Arial" w:hAnsi="Arial" w:cs="Arial"/>
                <w:sz w:val="20"/>
                <w:szCs w:val="20"/>
              </w:rPr>
              <w:t>enter</w:t>
            </w:r>
            <w:proofErr w:type="spellEnd"/>
            <w:r w:rsidRPr="00A14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4F07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A14F07">
              <w:rPr>
                <w:rFonts w:ascii="Arial" w:hAnsi="Arial" w:cs="Arial"/>
                <w:sz w:val="20"/>
                <w:szCs w:val="20"/>
              </w:rPr>
              <w:t xml:space="preserve"> force </w:t>
            </w:r>
            <w:r w:rsidR="006E2D69">
              <w:rPr>
                <w:rFonts w:ascii="Arial" w:hAnsi="Arial" w:cs="Arial"/>
                <w:sz w:val="20"/>
                <w:szCs w:val="20"/>
              </w:rPr>
              <w:t>04</w:t>
            </w:r>
            <w:r w:rsidRPr="009859B7">
              <w:rPr>
                <w:rFonts w:ascii="Arial" w:hAnsi="Arial" w:cs="Arial"/>
                <w:sz w:val="20"/>
                <w:szCs w:val="20"/>
              </w:rPr>
              <w:t>.2020</w:t>
            </w:r>
            <w:r w:rsidR="006E2D69">
              <w:rPr>
                <w:rFonts w:ascii="Arial" w:hAnsi="Arial" w:cs="Arial"/>
                <w:sz w:val="20"/>
                <w:szCs w:val="20"/>
              </w:rPr>
              <w:t xml:space="preserve"> (TBA)</w:t>
            </w:r>
          </w:p>
          <w:p w14:paraId="7335D383" w14:textId="65117832" w:rsidR="00BD30D4" w:rsidRPr="009859B7" w:rsidRDefault="00BD30D4" w:rsidP="00A14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 w:rsidRPr="00A14F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4F07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proofErr w:type="spellEnd"/>
            <w:r w:rsidRPr="00A14F0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6E2D69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6E2D69" w:rsidRPr="00A14F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4F07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</w:p>
        </w:tc>
      </w:tr>
      <w:tr w:rsidR="00BD30D4" w:rsidRPr="009859B7" w14:paraId="3A3F1B75" w14:textId="77777777" w:rsidTr="00BD30D4">
        <w:tc>
          <w:tcPr>
            <w:tcW w:w="4814" w:type="dxa"/>
          </w:tcPr>
          <w:p w14:paraId="6CC1A7D1" w14:textId="77777777" w:rsidR="00BD30D4" w:rsidRPr="009859B7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r w:rsidRPr="008D42DF">
              <w:rPr>
                <w:rFonts w:ascii="Arial" w:hAnsi="Arial" w:cs="Arial"/>
                <w:b/>
                <w:bCs/>
                <w:sz w:val="20"/>
                <w:szCs w:val="20"/>
              </w:rPr>
              <w:t>XIV.</w:t>
            </w:r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5" w:name="_Hlk31804785"/>
            <w:r w:rsidRPr="00F31179">
              <w:rPr>
                <w:rFonts w:ascii="Arial" w:hAnsi="Arial" w:cs="Arial"/>
                <w:b/>
                <w:iCs/>
                <w:sz w:val="20"/>
                <w:szCs w:val="20"/>
              </w:rPr>
              <w:t>Galiojimo teritorija</w:t>
            </w:r>
          </w:p>
          <w:bookmarkEnd w:id="35"/>
          <w:p w14:paraId="5C50012C" w14:textId="77777777" w:rsidR="00BD30D4" w:rsidRPr="009859B7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9E5C1" w14:textId="77777777" w:rsidR="00BD30D4" w:rsidRPr="00F31179" w:rsidRDefault="00BD30D4" w:rsidP="00C134F1">
            <w:pPr>
              <w:rPr>
                <w:rFonts w:ascii="Arial" w:hAnsi="Arial" w:cs="Arial"/>
                <w:iCs/>
                <w:sz w:val="20"/>
                <w:szCs w:val="20"/>
              </w:rPr>
            </w:pPr>
            <w:bookmarkStart w:id="36" w:name="_Hlk31804805"/>
            <w:r w:rsidRPr="00F31179">
              <w:rPr>
                <w:rFonts w:ascii="Arial" w:hAnsi="Arial" w:cs="Arial"/>
                <w:iCs/>
                <w:sz w:val="20"/>
                <w:szCs w:val="20"/>
              </w:rPr>
              <w:t>Lietuva, Latvija, Estija, Lenkija.</w:t>
            </w:r>
          </w:p>
          <w:bookmarkEnd w:id="36"/>
          <w:p w14:paraId="21FFDEC1" w14:textId="77777777" w:rsidR="00BD30D4" w:rsidRPr="009859B7" w:rsidRDefault="00BD30D4" w:rsidP="00C134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0114A15" w14:textId="77777777" w:rsidR="00BD30D4" w:rsidRPr="009859B7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r w:rsidRPr="008D42DF">
              <w:rPr>
                <w:rFonts w:ascii="Arial" w:hAnsi="Arial" w:cs="Arial"/>
                <w:b/>
                <w:bCs/>
                <w:sz w:val="20"/>
                <w:szCs w:val="20"/>
              </w:rPr>
              <w:t>XIV.</w:t>
            </w:r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59B7">
              <w:rPr>
                <w:rFonts w:ascii="Arial" w:hAnsi="Arial" w:cs="Arial"/>
                <w:b/>
                <w:sz w:val="20"/>
                <w:szCs w:val="20"/>
              </w:rPr>
              <w:t>Territory</w:t>
            </w:r>
            <w:proofErr w:type="spellEnd"/>
            <w:r w:rsidRPr="009859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53FBC4" w14:textId="77777777" w:rsidR="00BD30D4" w:rsidRPr="009859B7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E7D06" w14:textId="77777777" w:rsidR="00BD30D4" w:rsidRPr="009859B7" w:rsidRDefault="00BD30D4" w:rsidP="00C134F1">
            <w:pPr>
              <w:rPr>
                <w:rFonts w:ascii="Arial" w:hAnsi="Arial" w:cs="Arial"/>
                <w:sz w:val="20"/>
                <w:szCs w:val="20"/>
              </w:rPr>
            </w:pPr>
            <w:r w:rsidRPr="009859B7">
              <w:rPr>
                <w:rFonts w:ascii="Arial" w:hAnsi="Arial" w:cs="Arial"/>
                <w:sz w:val="20"/>
                <w:szCs w:val="20"/>
              </w:rPr>
              <w:t xml:space="preserve">Lithuania,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Latvia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Estonia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59B7"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  <w:r w:rsidRPr="009859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30D4" w:rsidRPr="009859B7" w14:paraId="22102C71" w14:textId="77777777" w:rsidTr="00BD30D4">
        <w:tc>
          <w:tcPr>
            <w:tcW w:w="4814" w:type="dxa"/>
          </w:tcPr>
          <w:p w14:paraId="220D2DE6" w14:textId="77777777" w:rsidR="00BD30D4" w:rsidRDefault="00BD30D4" w:rsidP="00C13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XV. Papildoma informacija</w:t>
            </w:r>
          </w:p>
          <w:p w14:paraId="6EA69496" w14:textId="77777777" w:rsidR="00BD30D4" w:rsidRPr="008D42DF" w:rsidRDefault="00BD30D4" w:rsidP="00C13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7E14">
              <w:rPr>
                <w:rFonts w:ascii="Arial" w:hAnsi="Arial" w:cs="Arial"/>
                <w:sz w:val="20"/>
                <w:szCs w:val="20"/>
              </w:rPr>
              <w:t>Draudimo sutartis bus sudaroma tarpininkaujant ir ją administruos: Aon Baltic, UADBB.</w:t>
            </w:r>
          </w:p>
        </w:tc>
        <w:tc>
          <w:tcPr>
            <w:tcW w:w="4814" w:type="dxa"/>
          </w:tcPr>
          <w:p w14:paraId="079F3C00" w14:textId="77777777" w:rsidR="00BD30D4" w:rsidRDefault="00BD30D4" w:rsidP="00C13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XV.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87E14">
              <w:rPr>
                <w:rFonts w:ascii="Arial" w:hAnsi="Arial" w:cs="Arial"/>
                <w:b/>
                <w:bCs/>
                <w:sz w:val="20"/>
                <w:szCs w:val="20"/>
              </w:rPr>
              <w:t>dditional</w:t>
            </w:r>
            <w:proofErr w:type="spellEnd"/>
            <w:r w:rsidRPr="00387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spellEnd"/>
          </w:p>
          <w:p w14:paraId="02CD8912" w14:textId="77777777" w:rsidR="00BD30D4" w:rsidRPr="008D42DF" w:rsidRDefault="00BD30D4" w:rsidP="00C13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issued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intermediate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administered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E1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387E14">
              <w:rPr>
                <w:rFonts w:ascii="Arial" w:hAnsi="Arial" w:cs="Arial"/>
                <w:sz w:val="20"/>
                <w:szCs w:val="20"/>
              </w:rPr>
              <w:t>: Aon Baltic, UADBB</w:t>
            </w:r>
          </w:p>
        </w:tc>
      </w:tr>
    </w:tbl>
    <w:p w14:paraId="6185A7AB" w14:textId="77777777" w:rsidR="00BD30D4" w:rsidRPr="009859B7" w:rsidRDefault="00BD30D4" w:rsidP="00BD30D4">
      <w:pPr>
        <w:rPr>
          <w:rFonts w:ascii="Arial" w:hAnsi="Arial" w:cs="Arial"/>
          <w:sz w:val="20"/>
          <w:szCs w:val="20"/>
        </w:rPr>
      </w:pPr>
    </w:p>
    <w:p w14:paraId="424D7E1D" w14:textId="77777777" w:rsidR="009859B7" w:rsidRPr="00BD30D4" w:rsidRDefault="009859B7" w:rsidP="00BD30D4"/>
    <w:sectPr w:rsidR="009859B7" w:rsidRPr="00BD30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D61AF" w14:textId="77777777" w:rsidR="00CB4C4A" w:rsidRDefault="00CB4C4A" w:rsidP="00F31179">
      <w:pPr>
        <w:spacing w:after="0" w:line="240" w:lineRule="auto"/>
      </w:pPr>
      <w:r>
        <w:separator/>
      </w:r>
    </w:p>
  </w:endnote>
  <w:endnote w:type="continuationSeparator" w:id="0">
    <w:p w14:paraId="72871D53" w14:textId="77777777" w:rsidR="00CB4C4A" w:rsidRDefault="00CB4C4A" w:rsidP="00F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87EE" w14:textId="77777777" w:rsidR="00F303E6" w:rsidRDefault="00F30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35D0" w14:textId="77777777" w:rsidR="00F303E6" w:rsidRDefault="00F30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5953" w14:textId="77777777" w:rsidR="00F303E6" w:rsidRDefault="00F30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AE8FB" w14:textId="77777777" w:rsidR="00CB4C4A" w:rsidRDefault="00CB4C4A" w:rsidP="00F31179">
      <w:pPr>
        <w:spacing w:after="0" w:line="240" w:lineRule="auto"/>
      </w:pPr>
      <w:r>
        <w:separator/>
      </w:r>
    </w:p>
  </w:footnote>
  <w:footnote w:type="continuationSeparator" w:id="0">
    <w:p w14:paraId="43A459E8" w14:textId="77777777" w:rsidR="00CB4C4A" w:rsidRDefault="00CB4C4A" w:rsidP="00F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F35F6" w14:textId="77777777" w:rsidR="00F303E6" w:rsidRDefault="00F30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C0D01" w14:textId="7A79806E" w:rsidR="00F31179" w:rsidRDefault="00F311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40FF9D" wp14:editId="2A60CF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ab842e0812eaa228246846c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4A163C" w14:textId="5A2051E8" w:rsidR="00F31179" w:rsidRPr="00F31179" w:rsidRDefault="00F31179" w:rsidP="00F31179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0FF9D" id="_x0000_t202" coordsize="21600,21600" o:spt="202" path="m,l,21600r21600,l21600,xe">
              <v:stroke joinstyle="miter"/>
              <v:path gradientshapeok="t" o:connecttype="rect"/>
            </v:shapetype>
            <v:shape id="MSIPCMcab842e0812eaa228246846c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F4yJRI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7B4A163C" w14:textId="5A2051E8" w:rsidR="00F31179" w:rsidRPr="00F31179" w:rsidRDefault="00F31179" w:rsidP="00F31179">
                    <w:pPr>
                      <w:spacing w:after="0"/>
                      <w:jc w:val="right"/>
                      <w:rPr>
                        <w:rFonts w:ascii="Calibri" w:hAnsi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55709" w14:textId="77777777" w:rsidR="00F303E6" w:rsidRDefault="00F30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350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37A2152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F11209A"/>
    <w:multiLevelType w:val="hybridMultilevel"/>
    <w:tmpl w:val="C35AC8EE"/>
    <w:lvl w:ilvl="0" w:tplc="C9BCC41E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121C9D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17746D89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A2942BC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1C5759C2"/>
    <w:multiLevelType w:val="hybridMultilevel"/>
    <w:tmpl w:val="4DA64BAE"/>
    <w:lvl w:ilvl="0" w:tplc="C9BCC41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FD4E6A"/>
    <w:multiLevelType w:val="hybridMultilevel"/>
    <w:tmpl w:val="0DEA3C90"/>
    <w:lvl w:ilvl="0" w:tplc="C9BCC41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8E154B"/>
    <w:multiLevelType w:val="hybridMultilevel"/>
    <w:tmpl w:val="A8D4688E"/>
    <w:lvl w:ilvl="0" w:tplc="789C603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A15D16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43CE0617"/>
    <w:multiLevelType w:val="hybridMultilevel"/>
    <w:tmpl w:val="BF280546"/>
    <w:lvl w:ilvl="0" w:tplc="DA1AB0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97D70"/>
    <w:multiLevelType w:val="hybridMultilevel"/>
    <w:tmpl w:val="2A2E745E"/>
    <w:lvl w:ilvl="0" w:tplc="D6DC50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538DF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54713A7A"/>
    <w:multiLevelType w:val="hybridMultilevel"/>
    <w:tmpl w:val="40FA2862"/>
    <w:lvl w:ilvl="0" w:tplc="8C3ECFB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410D20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1695595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637B31B6"/>
    <w:multiLevelType w:val="hybridMultilevel"/>
    <w:tmpl w:val="C0C4B14E"/>
    <w:lvl w:ilvl="0" w:tplc="C9BCC41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31696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9" w15:restartNumberingAfterBreak="0">
    <w:nsid w:val="65275B6A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659A1120"/>
    <w:multiLevelType w:val="hybridMultilevel"/>
    <w:tmpl w:val="738A1900"/>
    <w:lvl w:ilvl="0" w:tplc="C9BCC41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CA6667"/>
    <w:multiLevelType w:val="hybridMultilevel"/>
    <w:tmpl w:val="760C2CAC"/>
    <w:lvl w:ilvl="0" w:tplc="CF2E921C">
      <w:numFmt w:val="bullet"/>
      <w:lvlText w:val="·"/>
      <w:lvlJc w:val="left"/>
      <w:pPr>
        <w:ind w:left="720" w:hanging="360"/>
      </w:pPr>
      <w:rPr>
        <w:rFonts w:ascii="Calibri" w:eastAsiaTheme="minorEastAsia" w:hAnsi="Calibri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25D22"/>
    <w:multiLevelType w:val="multilevel"/>
    <w:tmpl w:val="F91E7998"/>
    <w:lvl w:ilvl="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20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7A5E361B"/>
    <w:multiLevelType w:val="hybridMultilevel"/>
    <w:tmpl w:val="F26CC910"/>
    <w:lvl w:ilvl="0" w:tplc="DA1AB0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23"/>
  </w:num>
  <w:num w:numId="5">
    <w:abstractNumId w:val="15"/>
  </w:num>
  <w:num w:numId="6">
    <w:abstractNumId w:val="21"/>
  </w:num>
  <w:num w:numId="7">
    <w:abstractNumId w:val="5"/>
  </w:num>
  <w:num w:numId="8">
    <w:abstractNumId w:val="18"/>
  </w:num>
  <w:num w:numId="9">
    <w:abstractNumId w:val="1"/>
  </w:num>
  <w:num w:numId="10">
    <w:abstractNumId w:val="7"/>
  </w:num>
  <w:num w:numId="11">
    <w:abstractNumId w:val="20"/>
  </w:num>
  <w:num w:numId="12">
    <w:abstractNumId w:val="13"/>
  </w:num>
  <w:num w:numId="13">
    <w:abstractNumId w:val="2"/>
  </w:num>
  <w:num w:numId="14">
    <w:abstractNumId w:val="11"/>
  </w:num>
  <w:num w:numId="15">
    <w:abstractNumId w:val="17"/>
  </w:num>
  <w:num w:numId="16">
    <w:abstractNumId w:val="8"/>
  </w:num>
  <w:num w:numId="17">
    <w:abstractNumId w:val="6"/>
  </w:num>
  <w:num w:numId="18">
    <w:abstractNumId w:val="22"/>
  </w:num>
  <w:num w:numId="19">
    <w:abstractNumId w:val="4"/>
  </w:num>
  <w:num w:numId="20">
    <w:abstractNumId w:val="14"/>
  </w:num>
  <w:num w:numId="21">
    <w:abstractNumId w:val="12"/>
  </w:num>
  <w:num w:numId="22">
    <w:abstractNumId w:val="0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1"/>
    <w:rsid w:val="000B7115"/>
    <w:rsid w:val="000C514E"/>
    <w:rsid w:val="000D4D31"/>
    <w:rsid w:val="00112AE2"/>
    <w:rsid w:val="001F4AC1"/>
    <w:rsid w:val="00205563"/>
    <w:rsid w:val="003A1023"/>
    <w:rsid w:val="003F5FFA"/>
    <w:rsid w:val="0041304A"/>
    <w:rsid w:val="006A58AD"/>
    <w:rsid w:val="006E2D69"/>
    <w:rsid w:val="006E59D1"/>
    <w:rsid w:val="008347E6"/>
    <w:rsid w:val="0088266F"/>
    <w:rsid w:val="008D42DF"/>
    <w:rsid w:val="009145CB"/>
    <w:rsid w:val="00945896"/>
    <w:rsid w:val="009859B7"/>
    <w:rsid w:val="009A04CB"/>
    <w:rsid w:val="009D3D99"/>
    <w:rsid w:val="00A14F07"/>
    <w:rsid w:val="00B4440D"/>
    <w:rsid w:val="00B60C8D"/>
    <w:rsid w:val="00B95DD4"/>
    <w:rsid w:val="00BD30D4"/>
    <w:rsid w:val="00C10ED6"/>
    <w:rsid w:val="00C35AAD"/>
    <w:rsid w:val="00CB0354"/>
    <w:rsid w:val="00CB4C4A"/>
    <w:rsid w:val="00DC640C"/>
    <w:rsid w:val="00E06CEE"/>
    <w:rsid w:val="00F303E6"/>
    <w:rsid w:val="00F31179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83C8CB"/>
  <w15:chartTrackingRefBased/>
  <w15:docId w15:val="{8D9A04C0-DB31-4295-B63A-E4D04CD5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30D4"/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E06CEE"/>
    <w:pPr>
      <w:keepNext/>
      <w:numPr>
        <w:numId w:val="5"/>
      </w:numPr>
      <w:tabs>
        <w:tab w:val="left" w:pos="1276"/>
      </w:tabs>
      <w:spacing w:after="120" w:line="240" w:lineRule="auto"/>
      <w:outlineLvl w:val="0"/>
    </w:pPr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CEE"/>
    <w:pPr>
      <w:keepNext/>
      <w:numPr>
        <w:ilvl w:val="1"/>
        <w:numId w:val="5"/>
      </w:numPr>
      <w:tabs>
        <w:tab w:val="left" w:pos="1276"/>
      </w:tabs>
      <w:spacing w:after="12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6CEE"/>
    <w:pPr>
      <w:keepNext/>
      <w:numPr>
        <w:ilvl w:val="2"/>
        <w:numId w:val="5"/>
      </w:numPr>
      <w:tabs>
        <w:tab w:val="left" w:pos="1276"/>
      </w:tabs>
      <w:spacing w:after="120" w:line="240" w:lineRule="auto"/>
      <w:outlineLvl w:val="2"/>
    </w:pPr>
    <w:rPr>
      <w:rFonts w:ascii="Arial" w:eastAsia="Times New Roman" w:hAnsi="Arial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6CEE"/>
    <w:pPr>
      <w:keepNext/>
      <w:numPr>
        <w:ilvl w:val="3"/>
        <w:numId w:val="5"/>
      </w:numPr>
      <w:tabs>
        <w:tab w:val="left" w:pos="1276"/>
      </w:tabs>
      <w:spacing w:after="120" w:line="240" w:lineRule="auto"/>
      <w:outlineLvl w:val="3"/>
    </w:pPr>
    <w:rPr>
      <w:rFonts w:ascii="Arial" w:eastAsia="Times New Roman" w:hAnsi="Arial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6CEE"/>
    <w:pPr>
      <w:numPr>
        <w:ilvl w:val="4"/>
        <w:numId w:val="5"/>
      </w:numPr>
      <w:spacing w:after="0" w:line="240" w:lineRule="atLeast"/>
      <w:outlineLvl w:val="4"/>
    </w:pPr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6CEE"/>
    <w:pPr>
      <w:numPr>
        <w:ilvl w:val="5"/>
        <w:numId w:val="5"/>
      </w:numPr>
      <w:spacing w:after="0" w:line="240" w:lineRule="atLeast"/>
      <w:outlineLvl w:val="5"/>
    </w:pPr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6CEE"/>
    <w:pPr>
      <w:numPr>
        <w:ilvl w:val="6"/>
        <w:numId w:val="5"/>
      </w:numPr>
      <w:spacing w:after="0" w:line="240" w:lineRule="atLeast"/>
      <w:outlineLvl w:val="6"/>
    </w:pPr>
    <w:rPr>
      <w:rFonts w:ascii="Arial" w:eastAsia="Times New Roman" w:hAnsi="Arial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6CEE"/>
    <w:pPr>
      <w:numPr>
        <w:ilvl w:val="7"/>
        <w:numId w:val="5"/>
      </w:numPr>
      <w:spacing w:after="0" w:line="240" w:lineRule="atLeast"/>
      <w:outlineLvl w:val="7"/>
    </w:pPr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6CEE"/>
    <w:pPr>
      <w:numPr>
        <w:ilvl w:val="8"/>
        <w:numId w:val="5"/>
      </w:numPr>
      <w:spacing w:after="0"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E06CEE"/>
    <w:pPr>
      <w:spacing w:after="0" w:line="240" w:lineRule="auto"/>
      <w:ind w:left="720" w:firstLine="357"/>
      <w:contextualSpacing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E06CEE"/>
    <w:rPr>
      <w:color w:val="auto"/>
      <w:u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06CEE"/>
    <w:rPr>
      <w:rFonts w:ascii="Arial" w:hAnsi="Arial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E06CE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E06CE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E06CE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E06CE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E06CE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E06CE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E06CE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E06CE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E06CEE"/>
    <w:rPr>
      <w:rFonts w:ascii="Verdana" w:eastAsia="Times New Roman" w:hAnsi="Verdana" w:cs="Arial"/>
      <w:b/>
      <w:sz w:val="18"/>
      <w:lang w:val="en-GB" w:eastAsia="da-DK"/>
    </w:rPr>
  </w:style>
  <w:style w:type="paragraph" w:styleId="Header">
    <w:name w:val="header"/>
    <w:basedOn w:val="Normal"/>
    <w:link w:val="HeaderChar"/>
    <w:uiPriority w:val="99"/>
    <w:unhideWhenUsed/>
    <w:rsid w:val="00F31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79"/>
  </w:style>
  <w:style w:type="paragraph" w:styleId="Footer">
    <w:name w:val="footer"/>
    <w:basedOn w:val="Normal"/>
    <w:link w:val="FooterChar"/>
    <w:uiPriority w:val="99"/>
    <w:unhideWhenUsed/>
    <w:rsid w:val="00F31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179"/>
  </w:style>
  <w:style w:type="paragraph" w:styleId="BalloonText">
    <w:name w:val="Balloon Text"/>
    <w:basedOn w:val="Normal"/>
    <w:link w:val="BalloonTextChar"/>
    <w:uiPriority w:val="99"/>
    <w:semiHidden/>
    <w:unhideWhenUsed/>
    <w:rsid w:val="0083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D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nitisgrupe.lt/en/ignitis-grupes-paslaugu-centras-uab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pc@ignitis.lt" TargetMode="External"/><Relationship Id="rId12" Type="http://schemas.openxmlformats.org/officeDocument/2006/relationships/hyperlink" Target="https://www.ignitisgrupe.lt/en/group-compani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gnitisgrupe.lt/en/group-compan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gnitisgrupe.lt/en/ignitis-grupes-paslaugu-centras-ua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c@ignitis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8454</Words>
  <Characters>4820</Characters>
  <Application>Microsoft Office Word</Application>
  <DocSecurity>4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Unguraitienė</dc:creator>
  <cp:keywords/>
  <dc:description/>
  <cp:lastModifiedBy>Indrė Unguraitienė</cp:lastModifiedBy>
  <cp:revision>2</cp:revision>
  <dcterms:created xsi:type="dcterms:W3CDTF">2020-03-30T10:47:00Z</dcterms:created>
  <dcterms:modified xsi:type="dcterms:W3CDTF">2020-03-30T10:47:00Z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Indre.Unguraitiene@ignitis.lt</vt:lpwstr>
  </property>
  <property fmtid="{D5CDD505-2E9C-101B-9397-08002B2CF9AE}" pid="5" name="MSIP_Label_320c693d-44b7-4e16-b3dd-4fcd87401cf5_SetDate">
    <vt:lpwstr>2020-02-11T07:29:02.7768799Z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fba8d9f0-dbd6-4fdd-938e-9143a17aa97b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Indre.Unguraitiene@ignitis.lt</vt:lpwstr>
  </property>
  <property fmtid="{D5CDD505-2E9C-101B-9397-08002B2CF9AE}" pid="13" name="MSIP_Label_190751af-2442-49a7-b7b9-9f0bcce858c9_SetDate">
    <vt:lpwstr>2020-02-11T07:29:02.7768799Z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fba8d9f0-dbd6-4fdd-938e-9143a17aa97b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